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89EB86" w14:textId="62FA7ADD" w:rsidR="003300FF" w:rsidRPr="00751BD7" w:rsidRDefault="003300FF" w:rsidP="29EAAD30">
      <w:pPr>
        <w:rPr>
          <w:rFonts w:ascii="Arial" w:eastAsia="MS Mincho" w:hAnsi="Arial"/>
          <w:b/>
          <w:bCs/>
          <w:sz w:val="24"/>
          <w:szCs w:val="24"/>
          <w:lang w:eastAsia="x-none"/>
        </w:rPr>
      </w:pPr>
      <w:r w:rsidRPr="243B3237">
        <w:rPr>
          <w:rFonts w:ascii="Arial" w:eastAsia="MS Mincho" w:hAnsi="Arial"/>
          <w:b/>
          <w:bCs/>
          <w:sz w:val="24"/>
          <w:szCs w:val="24"/>
        </w:rPr>
        <w:t>3GPP TSG RAN WG2 Meeting #11</w:t>
      </w:r>
      <w:r w:rsidR="008D5114">
        <w:rPr>
          <w:rFonts w:ascii="Arial" w:eastAsia="MS Mincho" w:hAnsi="Arial"/>
          <w:b/>
          <w:bCs/>
          <w:sz w:val="24"/>
          <w:szCs w:val="24"/>
        </w:rPr>
        <w:t>5</w:t>
      </w:r>
      <w:r w:rsidR="00B778BD">
        <w:rPr>
          <w:rFonts w:ascii="Arial" w:eastAsia="MS Mincho" w:hAnsi="Arial"/>
          <w:b/>
          <w:bCs/>
          <w:sz w:val="24"/>
          <w:szCs w:val="24"/>
        </w:rPr>
        <w:t>-</w:t>
      </w:r>
      <w:r w:rsidRPr="243B3237">
        <w:rPr>
          <w:rFonts w:ascii="Arial" w:eastAsia="MS Mincho" w:hAnsi="Arial"/>
          <w:b/>
          <w:bCs/>
          <w:sz w:val="24"/>
          <w:szCs w:val="24"/>
        </w:rPr>
        <w:t xml:space="preserve">e           </w:t>
      </w:r>
      <w:r>
        <w:tab/>
      </w:r>
      <w:r>
        <w:tab/>
      </w:r>
      <w:r w:rsidRPr="243B3237">
        <w:rPr>
          <w:rFonts w:ascii="Arial" w:eastAsia="MS Mincho" w:hAnsi="Arial"/>
          <w:b/>
          <w:bCs/>
          <w:sz w:val="24"/>
          <w:szCs w:val="24"/>
        </w:rPr>
        <w:t xml:space="preserve">      </w:t>
      </w:r>
      <w:r>
        <w:tab/>
      </w:r>
      <w:r w:rsidR="00C86C38">
        <w:t xml:space="preserve">            </w:t>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R2-2</w:t>
      </w:r>
      <w:r w:rsidR="5593F32F" w:rsidRPr="243B3237">
        <w:rPr>
          <w:rFonts w:ascii="Arial" w:eastAsia="MS Mincho" w:hAnsi="Arial"/>
          <w:b/>
          <w:bCs/>
          <w:sz w:val="24"/>
          <w:szCs w:val="24"/>
        </w:rPr>
        <w:t>10</w:t>
      </w:r>
      <w:r w:rsidR="002E5BD5">
        <w:rPr>
          <w:rFonts w:ascii="Arial" w:eastAsia="MS Mincho" w:hAnsi="Arial"/>
          <w:b/>
          <w:bCs/>
          <w:sz w:val="24"/>
          <w:szCs w:val="24"/>
        </w:rPr>
        <w:t>7289</w:t>
      </w:r>
    </w:p>
    <w:p w14:paraId="4E1D3C96" w14:textId="7ADCAAEB" w:rsidR="003300FF" w:rsidRDefault="003300FF" w:rsidP="4FCD8439">
      <w:pPr>
        <w:pStyle w:val="3GPPHeader"/>
        <w:jc w:val="right"/>
        <w:rPr>
          <w:rFonts w:eastAsia="MS Mincho"/>
          <w:lang w:eastAsia="x-none"/>
        </w:rPr>
      </w:pPr>
      <w:r w:rsidRPr="4FCD8439">
        <w:rPr>
          <w:rFonts w:eastAsia="MS Mincho"/>
        </w:rPr>
        <w:t xml:space="preserve">Electronic meeting, </w:t>
      </w:r>
      <w:r w:rsidR="00B778BD" w:rsidRPr="4FCD8439">
        <w:rPr>
          <w:rFonts w:eastAsia="MS Mincho"/>
        </w:rPr>
        <w:t>1</w:t>
      </w:r>
      <w:r w:rsidR="008D5114">
        <w:rPr>
          <w:rFonts w:eastAsia="MS Mincho"/>
        </w:rPr>
        <w:t>6</w:t>
      </w:r>
      <w:r w:rsidR="00B778BD" w:rsidRPr="4FCD8439">
        <w:rPr>
          <w:rFonts w:eastAsia="MS Mincho"/>
          <w:vertAlign w:val="superscript"/>
        </w:rPr>
        <w:t>th</w:t>
      </w:r>
      <w:r w:rsidR="00B778BD" w:rsidRPr="4FCD8439">
        <w:rPr>
          <w:rFonts w:eastAsia="MS Mincho"/>
        </w:rPr>
        <w:t xml:space="preserve"> </w:t>
      </w:r>
      <w:r w:rsidR="00CC4979" w:rsidRPr="4FCD8439">
        <w:rPr>
          <w:rFonts w:eastAsia="MS Mincho"/>
        </w:rPr>
        <w:t xml:space="preserve">– </w:t>
      </w:r>
      <w:r w:rsidR="00B778BD" w:rsidRPr="4FCD8439">
        <w:rPr>
          <w:rFonts w:eastAsia="MS Mincho"/>
        </w:rPr>
        <w:t>2</w:t>
      </w:r>
      <w:r w:rsidR="00145BC5">
        <w:rPr>
          <w:rFonts w:eastAsia="MS Mincho"/>
        </w:rPr>
        <w:t>7</w:t>
      </w:r>
      <w:r w:rsidR="00B778BD" w:rsidRPr="4FCD8439">
        <w:rPr>
          <w:rFonts w:eastAsia="MS Mincho"/>
          <w:vertAlign w:val="superscript"/>
        </w:rPr>
        <w:t>th</w:t>
      </w:r>
      <w:r w:rsidR="00B778BD" w:rsidRPr="4FCD8439">
        <w:rPr>
          <w:rFonts w:eastAsia="MS Mincho"/>
        </w:rPr>
        <w:t xml:space="preserve"> </w:t>
      </w:r>
      <w:r w:rsidR="007A6989">
        <w:rPr>
          <w:rFonts w:eastAsia="MS Mincho"/>
        </w:rPr>
        <w:t>Aug</w:t>
      </w:r>
      <w:r w:rsidR="007A6989" w:rsidRPr="4FCD8439">
        <w:rPr>
          <w:rFonts w:eastAsia="MS Mincho"/>
        </w:rPr>
        <w:t xml:space="preserve"> </w:t>
      </w:r>
      <w:r w:rsidRPr="4FCD8439">
        <w:rPr>
          <w:rFonts w:eastAsia="MS Mincho"/>
        </w:rPr>
        <w:t xml:space="preserve">2020     </w:t>
      </w:r>
      <w:r>
        <w:tab/>
      </w:r>
    </w:p>
    <w:p w14:paraId="52AA1637" w14:textId="2F6E2051"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8.4.</w:t>
      </w:r>
      <w:r w:rsidR="00121952">
        <w:rPr>
          <w:sz w:val="22"/>
          <w:szCs w:val="22"/>
          <w:lang w:val="sv-SE"/>
        </w:rPr>
        <w:t>2</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6C02E646" w:rsidR="003300FF" w:rsidRPr="00CE0424" w:rsidRDefault="003300FF" w:rsidP="003300FF">
      <w:pPr>
        <w:pStyle w:val="3GPPHeader"/>
        <w:rPr>
          <w:sz w:val="22"/>
          <w:szCs w:val="22"/>
        </w:rPr>
      </w:pPr>
      <w:r>
        <w:rPr>
          <w:sz w:val="22"/>
          <w:szCs w:val="22"/>
        </w:rPr>
        <w:t>Title:</w:t>
      </w:r>
      <w:r>
        <w:rPr>
          <w:sz w:val="22"/>
          <w:szCs w:val="22"/>
        </w:rPr>
        <w:tab/>
      </w:r>
      <w:r w:rsidR="00B778BD">
        <w:rPr>
          <w:sz w:val="22"/>
          <w:szCs w:val="22"/>
        </w:rPr>
        <w:t>IAB t</w:t>
      </w:r>
      <w:r w:rsidR="00CA068B" w:rsidRPr="00CA068B">
        <w:rPr>
          <w:sz w:val="22"/>
          <w:szCs w:val="22"/>
        </w:rPr>
        <w:t>opology-wide fairness</w:t>
      </w:r>
      <w:r w:rsidR="00145BC5">
        <w:rPr>
          <w:sz w:val="22"/>
          <w:szCs w:val="22"/>
        </w:rPr>
        <w:t xml:space="preserve">, </w:t>
      </w:r>
      <w:r w:rsidR="007D0CBF" w:rsidRPr="00CA068B">
        <w:rPr>
          <w:sz w:val="22"/>
          <w:szCs w:val="22"/>
        </w:rPr>
        <w:t>latency,</w:t>
      </w:r>
      <w:r w:rsidR="00145BC5">
        <w:rPr>
          <w:sz w:val="22"/>
          <w:szCs w:val="22"/>
        </w:rPr>
        <w:t xml:space="preserve"> and congestion</w:t>
      </w:r>
      <w:r w:rsidR="00CA068B" w:rsidRPr="00CA068B">
        <w:rPr>
          <w:sz w:val="22"/>
          <w:szCs w:val="22"/>
        </w:rPr>
        <w:t xml:space="preserve"> enhancement</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3300FF">
      <w:pPr>
        <w:pStyle w:val="Heading1"/>
      </w:pPr>
      <w:r>
        <w:t>Introduction</w:t>
      </w:r>
    </w:p>
    <w:p w14:paraId="15246383" w14:textId="095C47FE" w:rsidR="00267E22" w:rsidRPr="00C819C9" w:rsidRDefault="003B3E6E" w:rsidP="00C819C9">
      <w:r>
        <w:t>S</w:t>
      </w:r>
      <w:r w:rsidR="00344EB3">
        <w:t xml:space="preserve">olutions to enhance fairness, latency and congestion have been </w:t>
      </w:r>
      <w:r w:rsidR="002D12B4">
        <w:t>analy</w:t>
      </w:r>
      <w:r>
        <w:t>zed and discussed during previous RAN2 meeting</w:t>
      </w:r>
      <w:r w:rsidR="00EB02D9">
        <w:t>.</w:t>
      </w:r>
      <w:r>
        <w:t xml:space="preserve"> </w:t>
      </w:r>
      <w:r w:rsidR="00313DD3">
        <w:t xml:space="preserve">However, multiple enhancements maybe useful to improve </w:t>
      </w:r>
      <w:r w:rsidR="004D3762">
        <w:t xml:space="preserve">system performance in terms of fairness, </w:t>
      </w:r>
      <w:r w:rsidR="002312F3">
        <w:t>latency,</w:t>
      </w:r>
      <w:r w:rsidR="004D3762">
        <w:t xml:space="preserve"> and congestion, it is </w:t>
      </w:r>
      <w:r w:rsidR="00173FD2">
        <w:t xml:space="preserve">almost </w:t>
      </w:r>
      <w:r w:rsidR="004D3762">
        <w:t>impossible to adopt them</w:t>
      </w:r>
      <w:r w:rsidR="00FE3186">
        <w:t>, as the signaling exchanges to support those enhancement may lead to further system performance down-gradation</w:t>
      </w:r>
      <w:r w:rsidR="00173FD2">
        <w:t xml:space="preserve">. </w:t>
      </w:r>
      <w:r w:rsidR="00267E22">
        <w:t xml:space="preserve">In this contribution, we </w:t>
      </w:r>
      <w:r w:rsidR="00A578C3">
        <w:t xml:space="preserve">mainly </w:t>
      </w:r>
      <w:r w:rsidR="00267E22">
        <w:t>focu</w:t>
      </w:r>
      <w:r w:rsidR="00AF182C">
        <w:t>s</w:t>
      </w:r>
      <w:r w:rsidR="00267E22">
        <w:t xml:space="preserve"> on</w:t>
      </w:r>
      <w:r w:rsidR="00AF182C">
        <w:t xml:space="preserve"> the</w:t>
      </w:r>
      <w:r w:rsidR="000716A7">
        <w:t xml:space="preserve"> analysis and</w:t>
      </w:r>
      <w:r w:rsidR="00267E22">
        <w:t xml:space="preserve"> </w:t>
      </w:r>
      <w:r w:rsidR="00803DC2">
        <w:t>selection</w:t>
      </w:r>
      <w:r w:rsidR="002312F3">
        <w:t xml:space="preserve"> to the solutions summarized</w:t>
      </w:r>
      <w:r w:rsidR="00894891">
        <w:t xml:space="preserve"> in R2-2104535</w:t>
      </w:r>
      <w:r w:rsidR="00EC6C78">
        <w:t xml:space="preserve"> </w:t>
      </w:r>
      <w:r w:rsidR="00EC6C78">
        <w:fldChar w:fldCharType="begin"/>
      </w:r>
      <w:r w:rsidR="00EC6C78">
        <w:instrText xml:space="preserve"> REF _Ref70842791 \r \h </w:instrText>
      </w:r>
      <w:r w:rsidR="00EC6C78">
        <w:fldChar w:fldCharType="separate"/>
      </w:r>
      <w:r w:rsidR="00EC6C78">
        <w:t>[1]</w:t>
      </w:r>
      <w:r w:rsidR="00EC6C78">
        <w:fldChar w:fldCharType="end"/>
      </w:r>
      <w:r w:rsidR="00870DED">
        <w:t>.</w:t>
      </w:r>
    </w:p>
    <w:p w14:paraId="725639C0" w14:textId="2A119822" w:rsidR="002B71CC" w:rsidRDefault="003300FF" w:rsidP="00782679">
      <w:pPr>
        <w:pStyle w:val="Heading1"/>
      </w:pPr>
      <w:r>
        <w:t>Discussion</w:t>
      </w:r>
    </w:p>
    <w:p w14:paraId="35069294" w14:textId="77777777" w:rsidR="00B87646" w:rsidRDefault="00B87646" w:rsidP="00B87646">
      <w:pPr>
        <w:keepNext/>
        <w:rPr>
          <w:lang w:val="en-GB"/>
        </w:rPr>
      </w:pPr>
      <w:r>
        <w:rPr>
          <w:lang w:val="en-GB"/>
        </w:rPr>
        <w:t xml:space="preserve">It should be noted that, the topology-wide fairness solutions should not only solve proportional fairness between throughput and fairness, but also improve system QoS requirement and reduce latency for those uses who may experience longer latency. Hence, the solutions to solve latency or congestion issues should not only consider the enhancement of its own aspect, but also not violate the general spirit of topology-wide fairness in the IAB network, </w:t>
      </w:r>
      <w:proofErr w:type="gramStart"/>
      <w:r>
        <w:rPr>
          <w:lang w:val="en-GB"/>
        </w:rPr>
        <w:t>i.e.</w:t>
      </w:r>
      <w:proofErr w:type="gramEnd"/>
      <w:r>
        <w:rPr>
          <w:lang w:val="en-GB"/>
        </w:rPr>
        <w:t xml:space="preserve"> not lead to worse topology-wide fairness performance.</w:t>
      </w:r>
    </w:p>
    <w:p w14:paraId="72381C64" w14:textId="17629009" w:rsidR="00E97D94" w:rsidRDefault="00B87646" w:rsidP="00AE33CA">
      <w:pPr>
        <w:pStyle w:val="ListParagraph"/>
        <w:numPr>
          <w:ilvl w:val="0"/>
          <w:numId w:val="8"/>
        </w:numPr>
        <w:ind w:left="0" w:firstLine="0"/>
        <w:rPr>
          <w:rFonts w:ascii="Times New Roman" w:eastAsia="Times New Roman" w:hAnsi="Times New Roman"/>
          <w:b/>
          <w:bCs/>
          <w:sz w:val="20"/>
          <w:szCs w:val="20"/>
        </w:rPr>
      </w:pPr>
      <w:bookmarkStart w:id="0" w:name="_Ref71586205"/>
      <w:r w:rsidRPr="001A7C1F">
        <w:rPr>
          <w:rFonts w:ascii="Times New Roman" w:eastAsia="Times New Roman" w:hAnsi="Times New Roman"/>
          <w:b/>
          <w:bCs/>
          <w:sz w:val="20"/>
          <w:szCs w:val="20"/>
        </w:rPr>
        <w:t xml:space="preserve">The topology-wide </w:t>
      </w:r>
      <w:r>
        <w:rPr>
          <w:rFonts w:ascii="Times New Roman" w:eastAsia="Times New Roman" w:hAnsi="Times New Roman"/>
          <w:b/>
          <w:bCs/>
          <w:sz w:val="20"/>
          <w:szCs w:val="20"/>
        </w:rPr>
        <w:t xml:space="preserve">fairness covers </w:t>
      </w:r>
      <w:r w:rsidR="0018211C">
        <w:rPr>
          <w:rFonts w:ascii="Times New Roman" w:eastAsia="Times New Roman" w:hAnsi="Times New Roman"/>
          <w:b/>
          <w:bCs/>
          <w:sz w:val="20"/>
          <w:szCs w:val="20"/>
        </w:rPr>
        <w:t xml:space="preserve">the </w:t>
      </w:r>
      <w:r>
        <w:rPr>
          <w:rFonts w:ascii="Times New Roman" w:eastAsia="Times New Roman" w:hAnsi="Times New Roman"/>
          <w:b/>
          <w:bCs/>
          <w:sz w:val="20"/>
          <w:szCs w:val="20"/>
        </w:rPr>
        <w:t xml:space="preserve">improvement of latency and </w:t>
      </w:r>
      <w:r w:rsidR="0018211C">
        <w:rPr>
          <w:rFonts w:ascii="Times New Roman" w:eastAsia="Times New Roman" w:hAnsi="Times New Roman"/>
          <w:b/>
          <w:bCs/>
          <w:sz w:val="20"/>
          <w:szCs w:val="20"/>
        </w:rPr>
        <w:t>throughput</w:t>
      </w:r>
      <w:r>
        <w:rPr>
          <w:rFonts w:ascii="Times New Roman" w:eastAsia="Times New Roman" w:hAnsi="Times New Roman"/>
          <w:b/>
          <w:bCs/>
          <w:sz w:val="20"/>
          <w:szCs w:val="20"/>
        </w:rPr>
        <w:t>. The solutions to latency or congestion should not lead to worse topology-wide fairness performance in the IAB-network.</w:t>
      </w:r>
      <w:bookmarkEnd w:id="0"/>
      <w:r>
        <w:rPr>
          <w:rFonts w:ascii="Times New Roman" w:eastAsia="Times New Roman" w:hAnsi="Times New Roman"/>
          <w:b/>
          <w:bCs/>
          <w:sz w:val="20"/>
          <w:szCs w:val="20"/>
        </w:rPr>
        <w:t xml:space="preserve"> </w:t>
      </w:r>
    </w:p>
    <w:p w14:paraId="33765296" w14:textId="77777777" w:rsidR="005E65CA" w:rsidRDefault="009A4550" w:rsidP="00E97D94">
      <w:r>
        <w:t xml:space="preserve">As for solutions listed in </w:t>
      </w:r>
      <w:r w:rsidR="00EC6C78">
        <w:fldChar w:fldCharType="begin"/>
      </w:r>
      <w:r w:rsidR="00EC6C78">
        <w:instrText xml:space="preserve"> REF _Ref70842791 \r \h </w:instrText>
      </w:r>
      <w:r w:rsidR="00EC6C78">
        <w:fldChar w:fldCharType="separate"/>
      </w:r>
      <w:r w:rsidR="00EC6C78">
        <w:t>[1]</w:t>
      </w:r>
      <w:r w:rsidR="00EC6C78">
        <w:fldChar w:fldCharType="end"/>
      </w:r>
      <w:r w:rsidR="00EC6C78">
        <w:t xml:space="preserve">, </w:t>
      </w:r>
      <w:r w:rsidR="000B6AF3">
        <w:t xml:space="preserve">we understand that, for each solution, it can help to improve system performance in terms of fairness, latency, and congestion in certain degree. However, it is </w:t>
      </w:r>
      <w:r w:rsidR="002B6049">
        <w:t>impossible to adopt them all</w:t>
      </w:r>
      <w:r w:rsidR="00035B73">
        <w:t xml:space="preserve">, as </w:t>
      </w:r>
      <w:r w:rsidR="005A4E0A">
        <w:t xml:space="preserve">adopting all </w:t>
      </w:r>
      <w:r w:rsidR="00035B73">
        <w:t xml:space="preserve">will </w:t>
      </w:r>
      <w:r w:rsidR="005E65CA">
        <w:t xml:space="preserve">surely </w:t>
      </w:r>
      <w:r w:rsidR="00035B73">
        <w:t>introduce a heavy system complexity (</w:t>
      </w:r>
      <w:proofErr w:type="gramStart"/>
      <w:r w:rsidR="00035B73">
        <w:t>e.g.</w:t>
      </w:r>
      <w:proofErr w:type="gramEnd"/>
      <w:r w:rsidR="00035B73">
        <w:t xml:space="preserve"> </w:t>
      </w:r>
      <w:r w:rsidR="00EA0465">
        <w:t xml:space="preserve">performance monitoring, trigger criteria, </w:t>
      </w:r>
      <w:proofErr w:type="spellStart"/>
      <w:r w:rsidR="00EA0465">
        <w:t>etc</w:t>
      </w:r>
      <w:proofErr w:type="spellEnd"/>
      <w:r w:rsidR="00035B73">
        <w:t>)</w:t>
      </w:r>
      <w:r w:rsidR="00EA0465">
        <w:t xml:space="preserve">. </w:t>
      </w:r>
    </w:p>
    <w:p w14:paraId="03C4D41A" w14:textId="458C25F0" w:rsidR="00045CAA" w:rsidRDefault="005E65CA" w:rsidP="00E97D94">
      <w:r>
        <w:t>One the other hand, i</w:t>
      </w:r>
      <w:r w:rsidR="00EA0465">
        <w:t>t is also possible that one solution to reduce latency may introduce fairness issue</w:t>
      </w:r>
      <w:r>
        <w:t xml:space="preserve">, as it may prioritize to scheduling those packets without </w:t>
      </w:r>
      <w:r w:rsidR="002F5F11">
        <w:t>taking care of the fairness in the system</w:t>
      </w:r>
      <w:r w:rsidR="00EA0465">
        <w:t xml:space="preserve">. </w:t>
      </w:r>
      <w:r w:rsidR="00042121">
        <w:t xml:space="preserve">This may lead to ineffectiveness in the system, as fairness </w:t>
      </w:r>
      <w:r w:rsidR="29F3CD77">
        <w:t xml:space="preserve">should </w:t>
      </w:r>
      <w:r w:rsidR="00042121">
        <w:t xml:space="preserve">not be </w:t>
      </w:r>
      <w:r w:rsidR="00F7048E">
        <w:t>sacrifi</w:t>
      </w:r>
      <w:r w:rsidR="00276702">
        <w:t>ced</w:t>
      </w:r>
      <w:r w:rsidR="00F7048E">
        <w:t xml:space="preserve"> to </w:t>
      </w:r>
      <w:r w:rsidR="00276702">
        <w:t>meet latency requirement</w:t>
      </w:r>
      <w:r w:rsidR="006169B8">
        <w:t>, and vice versa</w:t>
      </w:r>
      <w:r w:rsidR="00F7048E">
        <w:t>.</w:t>
      </w:r>
      <w:r w:rsidR="00042121">
        <w:t xml:space="preserve"> </w:t>
      </w:r>
      <w:r w:rsidR="00EA0465">
        <w:t>Hence, considering the system-level performance</w:t>
      </w:r>
      <w:r w:rsidR="00347958">
        <w:t xml:space="preserve"> and avoid</w:t>
      </w:r>
      <w:r w:rsidR="24ECE1A7">
        <w:t>ing</w:t>
      </w:r>
      <w:r w:rsidR="00347958">
        <w:t xml:space="preserve"> one solution overwrites another</w:t>
      </w:r>
      <w:r w:rsidR="002F5F11">
        <w:t xml:space="preserve"> is very important d</w:t>
      </w:r>
      <w:r w:rsidR="00CC615A">
        <w:t>uring solution down-selection</w:t>
      </w:r>
      <w:r w:rsidR="002F5F11">
        <w:t>.</w:t>
      </w:r>
      <w:r w:rsidR="00CC615A">
        <w:t xml:space="preserve"> </w:t>
      </w:r>
      <w:r w:rsidR="002F5F11">
        <w:t xml:space="preserve">For that, </w:t>
      </w:r>
      <w:r w:rsidR="00EA0465">
        <w:t>we propose to select solutions</w:t>
      </w:r>
      <w:r w:rsidR="009641AD">
        <w:t xml:space="preserve"> which can </w:t>
      </w:r>
      <w:r w:rsidR="00276D58">
        <w:t xml:space="preserve">fit </w:t>
      </w:r>
      <w:r w:rsidR="00340B76">
        <w:t>more than one</w:t>
      </w:r>
      <w:r w:rsidR="00CA18A5">
        <w:t xml:space="preserve"> </w:t>
      </w:r>
      <w:r w:rsidR="00347958">
        <w:t>performance requirements</w:t>
      </w:r>
      <w:r w:rsidR="00CA18A5">
        <w:t xml:space="preserve">, </w:t>
      </w:r>
      <w:r w:rsidR="008B762F">
        <w:t>especially</w:t>
      </w:r>
      <w:r w:rsidR="00CA18A5">
        <w:t xml:space="preserve"> solution(s) </w:t>
      </w:r>
      <w:r w:rsidR="00A439F3">
        <w:t xml:space="preserve">which </w:t>
      </w:r>
      <w:r w:rsidR="00CA18A5">
        <w:t xml:space="preserve">can fit for </w:t>
      </w:r>
      <w:r w:rsidR="008B762F">
        <w:t xml:space="preserve">both </w:t>
      </w:r>
      <w:r w:rsidR="00276D58">
        <w:t>fairness</w:t>
      </w:r>
      <w:r w:rsidR="008B762F">
        <w:t xml:space="preserve"> and</w:t>
      </w:r>
      <w:r w:rsidR="00276D58">
        <w:t xml:space="preserve"> latency</w:t>
      </w:r>
      <w:r w:rsidR="00A439F3">
        <w:t xml:space="preserve"> should be prioritized than solutions only for fairness improvement or only for latency improvement</w:t>
      </w:r>
      <w:r w:rsidR="00276D58">
        <w:t>.</w:t>
      </w:r>
      <w:r w:rsidR="009641AD">
        <w:t xml:space="preserve"> </w:t>
      </w:r>
    </w:p>
    <w:p w14:paraId="27014761" w14:textId="24909D1A" w:rsidR="00340B76" w:rsidRDefault="00B61A26" w:rsidP="00340B76">
      <w:pPr>
        <w:pStyle w:val="ListParagraph"/>
        <w:numPr>
          <w:ilvl w:val="0"/>
          <w:numId w:val="7"/>
        </w:numPr>
        <w:ind w:left="0" w:firstLine="0"/>
        <w:rPr>
          <w:rFonts w:ascii="Times New Roman" w:hAnsi="Times New Roman"/>
          <w:b/>
          <w:bCs/>
          <w:sz w:val="20"/>
          <w:szCs w:val="20"/>
          <w:lang w:val="en-GB"/>
        </w:rPr>
      </w:pPr>
      <w:bookmarkStart w:id="1" w:name="_Ref78999803"/>
      <w:r>
        <w:rPr>
          <w:rFonts w:ascii="Times New Roman" w:hAnsi="Times New Roman"/>
          <w:b/>
          <w:bCs/>
          <w:sz w:val="20"/>
          <w:szCs w:val="20"/>
          <w:lang w:val="en-GB"/>
        </w:rPr>
        <w:t xml:space="preserve">Solutions to one issue </w:t>
      </w:r>
      <w:r w:rsidR="006169B8">
        <w:rPr>
          <w:rFonts w:ascii="Times New Roman" w:hAnsi="Times New Roman"/>
          <w:b/>
          <w:bCs/>
          <w:sz w:val="20"/>
          <w:szCs w:val="20"/>
          <w:lang w:val="en-GB"/>
        </w:rPr>
        <w:t>should</w:t>
      </w:r>
      <w:r>
        <w:rPr>
          <w:rFonts w:ascii="Times New Roman" w:hAnsi="Times New Roman"/>
          <w:b/>
          <w:bCs/>
          <w:sz w:val="20"/>
          <w:szCs w:val="20"/>
          <w:lang w:val="en-GB"/>
        </w:rPr>
        <w:t xml:space="preserve"> not overwrite/conflict with solution results for another issue.</w:t>
      </w:r>
      <w:r w:rsidR="006169B8">
        <w:rPr>
          <w:rFonts w:ascii="Times New Roman" w:hAnsi="Times New Roman"/>
          <w:b/>
          <w:bCs/>
          <w:sz w:val="20"/>
          <w:szCs w:val="20"/>
          <w:lang w:val="en-GB"/>
        </w:rPr>
        <w:t xml:space="preserve"> RAN2 to prioritize</w:t>
      </w:r>
      <w:r w:rsidR="004645EC">
        <w:rPr>
          <w:rFonts w:ascii="Times New Roman" w:hAnsi="Times New Roman"/>
          <w:b/>
          <w:bCs/>
          <w:sz w:val="20"/>
          <w:szCs w:val="20"/>
          <w:lang w:val="en-GB"/>
        </w:rPr>
        <w:t xml:space="preserve"> </w:t>
      </w:r>
      <w:r w:rsidR="006169B8">
        <w:rPr>
          <w:rFonts w:ascii="Times New Roman" w:hAnsi="Times New Roman"/>
          <w:b/>
          <w:bCs/>
          <w:sz w:val="20"/>
          <w:szCs w:val="20"/>
          <w:lang w:val="en-GB"/>
        </w:rPr>
        <w:t xml:space="preserve">solution(s) which can solve issues </w:t>
      </w:r>
      <w:r w:rsidR="004645EC">
        <w:rPr>
          <w:rFonts w:ascii="Times New Roman" w:hAnsi="Times New Roman"/>
          <w:b/>
          <w:bCs/>
          <w:sz w:val="20"/>
          <w:szCs w:val="20"/>
          <w:lang w:val="en-GB"/>
        </w:rPr>
        <w:t>of</w:t>
      </w:r>
      <w:r w:rsidR="006169B8">
        <w:rPr>
          <w:rFonts w:ascii="Times New Roman" w:hAnsi="Times New Roman"/>
          <w:b/>
          <w:bCs/>
          <w:sz w:val="20"/>
          <w:szCs w:val="20"/>
          <w:lang w:val="en-GB"/>
        </w:rPr>
        <w:t xml:space="preserve"> both fairness and latency</w:t>
      </w:r>
      <w:r w:rsidR="004645EC">
        <w:rPr>
          <w:rFonts w:ascii="Times New Roman" w:hAnsi="Times New Roman"/>
          <w:b/>
          <w:bCs/>
          <w:sz w:val="20"/>
          <w:szCs w:val="20"/>
          <w:lang w:val="en-GB"/>
        </w:rPr>
        <w:t xml:space="preserve"> than solution(s) to single issue.</w:t>
      </w:r>
      <w:bookmarkEnd w:id="1"/>
    </w:p>
    <w:p w14:paraId="3B3C54E1" w14:textId="11BEDE87" w:rsidR="00E97D94" w:rsidRPr="00E97D94" w:rsidRDefault="00E97D94" w:rsidP="00E97D94">
      <w:r>
        <w:t xml:space="preserve">In the following paragraphs, we will </w:t>
      </w:r>
      <w:r w:rsidR="004B752C">
        <w:t>analyze the pros and cons of</w:t>
      </w:r>
      <w:r>
        <w:t xml:space="preserve"> the proposed solutions summarized in </w:t>
      </w:r>
      <w:r w:rsidR="0014528B">
        <w:fldChar w:fldCharType="begin"/>
      </w:r>
      <w:r w:rsidR="0014528B">
        <w:instrText xml:space="preserve"> REF _Ref70842791 \r \h </w:instrText>
      </w:r>
      <w:r w:rsidR="0014528B">
        <w:fldChar w:fldCharType="separate"/>
      </w:r>
      <w:r w:rsidR="0014528B">
        <w:t>[1]</w:t>
      </w:r>
      <w:r w:rsidR="0014528B">
        <w:fldChar w:fldCharType="end"/>
      </w:r>
      <w:r w:rsidR="0014528B">
        <w:t xml:space="preserve">, and further provide our </w:t>
      </w:r>
      <w:r w:rsidR="00667125">
        <w:t>views on solution selection</w:t>
      </w:r>
      <w:r w:rsidR="0035493A">
        <w:t>.</w:t>
      </w:r>
    </w:p>
    <w:p w14:paraId="5C358FF5" w14:textId="158193F6" w:rsidR="00504435" w:rsidRDefault="00504435" w:rsidP="002D0442">
      <w:pPr>
        <w:pStyle w:val="Heading2"/>
      </w:pPr>
      <w:r>
        <w:lastRenderedPageBreak/>
        <w:t>Extension to BAP header</w:t>
      </w:r>
    </w:p>
    <w:p w14:paraId="12658ED7" w14:textId="65D94B95" w:rsidR="002D0442" w:rsidRDefault="002D0442" w:rsidP="00BA3075">
      <w:pPr>
        <w:pStyle w:val="Heading3"/>
      </w:pPr>
      <w:r>
        <w:t>UE-bearer ID extention in BAP header</w:t>
      </w:r>
    </w:p>
    <w:p w14:paraId="5D257E82" w14:textId="34120AA9" w:rsidR="002D0442" w:rsidRDefault="002D0442" w:rsidP="002D0442">
      <w:pPr>
        <w:keepNext/>
        <w:rPr>
          <w:lang w:val="en-GB"/>
        </w:rPr>
      </w:pPr>
      <w:r>
        <w:rPr>
          <w:lang w:val="en-GB"/>
        </w:rPr>
        <w:t xml:space="preserve">As discussed in </w:t>
      </w:r>
      <w:r>
        <w:rPr>
          <w:lang w:val="en-GB"/>
        </w:rPr>
        <w:fldChar w:fldCharType="begin"/>
      </w:r>
      <w:r>
        <w:rPr>
          <w:lang w:val="en-GB"/>
        </w:rPr>
        <w:instrText xml:space="preserve"> REF _Ref70842791 \n \h </w:instrText>
      </w:r>
      <w:r>
        <w:rPr>
          <w:lang w:val="en-GB"/>
        </w:rPr>
      </w:r>
      <w:r>
        <w:rPr>
          <w:lang w:val="en-GB"/>
        </w:rPr>
        <w:fldChar w:fldCharType="separate"/>
      </w:r>
      <w:r w:rsidR="007B246A">
        <w:rPr>
          <w:lang w:val="en-GB"/>
        </w:rPr>
        <w:t>[1]</w:t>
      </w:r>
      <w:r>
        <w:rPr>
          <w:lang w:val="en-GB"/>
        </w:rPr>
        <w:fldChar w:fldCharType="end"/>
      </w:r>
      <w:r>
        <w:rPr>
          <w:lang w:val="en-GB"/>
        </w:rPr>
        <w:t>, a UE bearer ID is added to the BAP header so that the scheduler can prioritize some bearers among others in the aggregated BH RLC channel. It should be introduced for the following reasons:</w:t>
      </w:r>
    </w:p>
    <w:p w14:paraId="3CF21483" w14:textId="68DB9BB7" w:rsidR="00DE6A25" w:rsidRPr="00867908" w:rsidRDefault="00DE6A25" w:rsidP="00DE6A25">
      <w:pPr>
        <w:keepNext/>
        <w:rPr>
          <w:b/>
          <w:bCs/>
          <w:lang w:val="en-GB"/>
        </w:rPr>
      </w:pPr>
      <w:r>
        <w:rPr>
          <w:b/>
          <w:bCs/>
          <w:lang w:val="en-GB"/>
        </w:rPr>
        <w:t>1</w:t>
      </w:r>
      <w:r w:rsidRPr="00867908">
        <w:rPr>
          <w:b/>
          <w:bCs/>
          <w:lang w:val="en-GB"/>
        </w:rPr>
        <w:t xml:space="preserve">) </w:t>
      </w:r>
      <w:r>
        <w:rPr>
          <w:b/>
          <w:bCs/>
          <w:lang w:val="en-GB"/>
        </w:rPr>
        <w:t>To improve latency performance: Reduce latency via routing to another egress BH RLC channel</w:t>
      </w:r>
    </w:p>
    <w:p w14:paraId="2275D5C2" w14:textId="2118A6B6" w:rsidR="003D1111" w:rsidRDefault="00DE6A25" w:rsidP="00DE6A25">
      <w:pPr>
        <w:keepNext/>
        <w:rPr>
          <w:lang w:val="en-GB"/>
        </w:rPr>
      </w:pPr>
      <w:r>
        <w:rPr>
          <w:lang w:val="en-GB"/>
        </w:rPr>
        <w:t>At each intermediate IAB-node, the routing of one packet is decided by its BAP routing ID (destination BAP address and path ID) and corresponding 1:1 mapped configuration (ingress BH RLC channel ID, prior-hop BAP address mapping to egress BH RLC channel ID, and next-hop BAP address). It is agreed in RAN2 #11</w:t>
      </w:r>
      <w:r w:rsidR="005627EA">
        <w:rPr>
          <w:lang w:val="en-GB"/>
        </w:rPr>
        <w:t>4</w:t>
      </w:r>
      <w:r>
        <w:rPr>
          <w:lang w:val="en-GB"/>
        </w:rPr>
        <w:t>e meeting that</w:t>
      </w:r>
      <w:r w:rsidR="005627EA">
        <w:rPr>
          <w:lang w:val="en-GB"/>
        </w:rPr>
        <w:t xml:space="preserve"> “</w:t>
      </w:r>
      <w:r w:rsidR="005627EA" w:rsidRPr="005627EA">
        <w:rPr>
          <w:lang w:val="en-GB"/>
        </w:rPr>
        <w:t xml:space="preserve">Local re-routing based on flow control feedback is allowed based on certain value of available buffer size. FFS further details. (Current </w:t>
      </w:r>
      <w:r w:rsidR="005627EA">
        <w:rPr>
          <w:lang w:val="en-GB"/>
        </w:rPr>
        <w:t>Hop-by-Hop Flow Control</w:t>
      </w:r>
      <w:r w:rsidR="005627EA" w:rsidRPr="005627EA">
        <w:rPr>
          <w:lang w:val="en-GB"/>
        </w:rPr>
        <w:t xml:space="preserve"> is for DL traffic</w:t>
      </w:r>
      <w:r w:rsidR="005627EA">
        <w:rPr>
          <w:lang w:val="en-GB"/>
        </w:rPr>
        <w:t>)</w:t>
      </w:r>
      <w:r>
        <w:rPr>
          <w:lang w:val="en-GB"/>
        </w:rPr>
        <w:t xml:space="preserve">. </w:t>
      </w:r>
      <w:r w:rsidR="004D4DD0">
        <w:rPr>
          <w:lang w:val="en-GB"/>
        </w:rPr>
        <w:t xml:space="preserve">UL Hop-by-Hop flow control feedback is also </w:t>
      </w:r>
      <w:r w:rsidR="001D0D65">
        <w:rPr>
          <w:lang w:val="en-GB"/>
        </w:rPr>
        <w:t>discussed in section 2.3 and o</w:t>
      </w:r>
      <w:r w:rsidR="003D1111">
        <w:rPr>
          <w:lang w:val="en-GB"/>
        </w:rPr>
        <w:t xml:space="preserve">ur companion contribution </w:t>
      </w:r>
      <w:r w:rsidR="001D0D65">
        <w:rPr>
          <w:lang w:val="en-GB"/>
        </w:rPr>
        <w:fldChar w:fldCharType="begin"/>
      </w:r>
      <w:r w:rsidR="001D0D65">
        <w:rPr>
          <w:lang w:val="en-GB"/>
        </w:rPr>
        <w:instrText xml:space="preserve"> REF _Ref78752906 \n \h </w:instrText>
      </w:r>
      <w:r w:rsidR="001D0D65">
        <w:rPr>
          <w:lang w:val="en-GB"/>
        </w:rPr>
      </w:r>
      <w:r w:rsidR="001D0D65">
        <w:rPr>
          <w:lang w:val="en-GB"/>
        </w:rPr>
        <w:fldChar w:fldCharType="separate"/>
      </w:r>
      <w:r w:rsidR="001D0D65">
        <w:rPr>
          <w:lang w:val="en-GB"/>
        </w:rPr>
        <w:t>[2]</w:t>
      </w:r>
      <w:r w:rsidR="001D0D65">
        <w:rPr>
          <w:lang w:val="en-GB"/>
        </w:rPr>
        <w:fldChar w:fldCharType="end"/>
      </w:r>
      <w:r w:rsidR="001D0D65">
        <w:rPr>
          <w:lang w:val="en-GB"/>
        </w:rPr>
        <w:t xml:space="preserve"> further proposed </w:t>
      </w:r>
      <w:r w:rsidR="004A140E">
        <w:rPr>
          <w:lang w:val="en-GB"/>
        </w:rPr>
        <w:t xml:space="preserve">local re-routing can also be triggered by </w:t>
      </w:r>
      <w:r w:rsidR="001D0D65">
        <w:rPr>
          <w:lang w:val="en-GB"/>
        </w:rPr>
        <w:t xml:space="preserve">UL </w:t>
      </w:r>
      <w:proofErr w:type="spellStart"/>
      <w:r w:rsidR="001D0D65">
        <w:rPr>
          <w:lang w:val="en-GB"/>
        </w:rPr>
        <w:t>HbH</w:t>
      </w:r>
      <w:proofErr w:type="spellEnd"/>
      <w:r w:rsidR="001D0D65">
        <w:rPr>
          <w:lang w:val="en-GB"/>
        </w:rPr>
        <w:t xml:space="preserve"> flow control feedback</w:t>
      </w:r>
      <w:r w:rsidR="004A140E">
        <w:rPr>
          <w:lang w:val="en-GB"/>
        </w:rPr>
        <w:t xml:space="preserve"> to avoid up</w:t>
      </w:r>
      <w:r w:rsidR="00786002">
        <w:rPr>
          <w:lang w:val="en-GB"/>
        </w:rPr>
        <w:t xml:space="preserve">stream congestion. </w:t>
      </w:r>
    </w:p>
    <w:p w14:paraId="2E09A8E0" w14:textId="52FFB191" w:rsidR="00DE6A25" w:rsidRDefault="00DE6A25" w:rsidP="00DE6A25">
      <w:pPr>
        <w:keepNext/>
        <w:rPr>
          <w:lang w:val="en-GB"/>
        </w:rPr>
      </w:pPr>
      <w:r w:rsidRPr="08B17480">
        <w:rPr>
          <w:lang w:val="en-GB"/>
        </w:rPr>
        <w:t>Different from local rerouting for RLF</w:t>
      </w:r>
      <w:r w:rsidR="001B2599" w:rsidRPr="08B17480">
        <w:rPr>
          <w:lang w:val="en-GB"/>
        </w:rPr>
        <w:t xml:space="preserve"> (including receiving type-4 RLF indication)</w:t>
      </w:r>
      <w:r w:rsidRPr="08B17480">
        <w:rPr>
          <w:lang w:val="en-GB"/>
        </w:rPr>
        <w:t xml:space="preserve">, local rerouting caused by congestion does not need to reroute all traffic/UE radio bearers in one BH RLC channel to the other link. Avoid overloading the other path should also be considered during traffic migration and rerouting. With UE bearer ID in the BAP header, the intermediate IAB-node can reroute </w:t>
      </w:r>
      <w:r w:rsidR="00B76ABC">
        <w:rPr>
          <w:lang w:val="en-GB"/>
        </w:rPr>
        <w:t>some of the</w:t>
      </w:r>
      <w:r w:rsidRPr="08B17480">
        <w:rPr>
          <w:lang w:val="en-GB"/>
        </w:rPr>
        <w:t xml:space="preserve"> radio bearers of </w:t>
      </w:r>
      <w:r w:rsidR="00B76ABC">
        <w:rPr>
          <w:lang w:val="en-GB"/>
        </w:rPr>
        <w:t>one</w:t>
      </w:r>
      <w:r w:rsidRPr="08B17480">
        <w:rPr>
          <w:lang w:val="en-GB"/>
        </w:rPr>
        <w:t xml:space="preserve"> UE to another egress BH RLC channel</w:t>
      </w:r>
      <w:r w:rsidR="00C26A34" w:rsidRPr="08B17480">
        <w:rPr>
          <w:lang w:val="en-GB"/>
        </w:rPr>
        <w:t xml:space="preserve"> based on the </w:t>
      </w:r>
      <w:r w:rsidR="00B02F3B" w:rsidRPr="08B17480">
        <w:rPr>
          <w:lang w:val="en-GB"/>
        </w:rPr>
        <w:t>available buffer size at the other path</w:t>
      </w:r>
      <w:r w:rsidRPr="08B17480">
        <w:rPr>
          <w:lang w:val="en-GB"/>
        </w:rPr>
        <w:t xml:space="preserve">. To avoid introducing heavy load of reordering, all packets from the selected reroute radio bearer(s) should be rerouted to the other link. </w:t>
      </w:r>
    </w:p>
    <w:p w14:paraId="49BEEF60" w14:textId="474C2C3C" w:rsidR="00DE6A25" w:rsidRPr="00BA3075" w:rsidRDefault="00DE6A25" w:rsidP="00BA3075">
      <w:pPr>
        <w:pStyle w:val="ListParagraph"/>
        <w:keepNext/>
        <w:numPr>
          <w:ilvl w:val="0"/>
          <w:numId w:val="8"/>
        </w:numPr>
        <w:ind w:left="0" w:firstLine="0"/>
        <w:rPr>
          <w:b/>
          <w:bCs/>
        </w:rPr>
      </w:pPr>
      <w:r>
        <w:rPr>
          <w:lang w:val="en-GB"/>
        </w:rPr>
        <w:t xml:space="preserve"> </w:t>
      </w:r>
      <w:bookmarkStart w:id="2" w:name="_Ref78999809"/>
      <w:r>
        <w:rPr>
          <w:rFonts w:ascii="Times New Roman" w:eastAsia="Times New Roman" w:hAnsi="Times New Roman"/>
          <w:b/>
          <w:bCs/>
          <w:sz w:val="20"/>
          <w:szCs w:val="20"/>
          <w:lang w:val="en-GB"/>
        </w:rPr>
        <w:t xml:space="preserve">Intermediate IAB-node can local-reroute </w:t>
      </w:r>
      <w:r w:rsidR="00265AF6">
        <w:rPr>
          <w:rFonts w:ascii="Times New Roman" w:eastAsia="Times New Roman" w:hAnsi="Times New Roman"/>
          <w:b/>
          <w:bCs/>
          <w:sz w:val="20"/>
          <w:szCs w:val="20"/>
          <w:lang w:val="en-GB"/>
        </w:rPr>
        <w:t>partial</w:t>
      </w:r>
      <w:r>
        <w:rPr>
          <w:rFonts w:ascii="Times New Roman" w:eastAsia="Times New Roman" w:hAnsi="Times New Roman"/>
          <w:b/>
          <w:bCs/>
          <w:sz w:val="20"/>
          <w:szCs w:val="20"/>
          <w:lang w:val="en-GB"/>
        </w:rPr>
        <w:t xml:space="preserve"> radio bearers of the UE to another path, avoiding overload</w:t>
      </w:r>
      <w:r w:rsidR="000B689E">
        <w:rPr>
          <w:rFonts w:ascii="Times New Roman" w:eastAsia="Times New Roman" w:hAnsi="Times New Roman"/>
          <w:b/>
          <w:bCs/>
          <w:sz w:val="20"/>
          <w:szCs w:val="20"/>
          <w:lang w:val="en-GB"/>
        </w:rPr>
        <w:t>ing</w:t>
      </w:r>
      <w:r>
        <w:rPr>
          <w:rFonts w:ascii="Times New Roman" w:eastAsia="Times New Roman" w:hAnsi="Times New Roman"/>
          <w:b/>
          <w:bCs/>
          <w:sz w:val="20"/>
          <w:szCs w:val="20"/>
          <w:lang w:val="en-GB"/>
        </w:rPr>
        <w:t xml:space="preserve"> the target path. This requires</w:t>
      </w:r>
      <w:r w:rsidRPr="00B81AA4">
        <w:rPr>
          <w:rFonts w:ascii="Times New Roman" w:eastAsia="Times New Roman" w:hAnsi="Times New Roman"/>
          <w:b/>
          <w:bCs/>
          <w:sz w:val="20"/>
          <w:szCs w:val="20"/>
        </w:rPr>
        <w:t xml:space="preserve"> UE bearer ID in the BAP header.</w:t>
      </w:r>
      <w:bookmarkEnd w:id="2"/>
    </w:p>
    <w:p w14:paraId="0273281B" w14:textId="65AA7A64" w:rsidR="002D0442" w:rsidRPr="007424DF" w:rsidRDefault="00DE6A25" w:rsidP="002D0442">
      <w:pPr>
        <w:keepNext/>
        <w:rPr>
          <w:b/>
          <w:bCs/>
          <w:lang w:val="en-GB"/>
        </w:rPr>
      </w:pPr>
      <w:r>
        <w:rPr>
          <w:b/>
          <w:bCs/>
          <w:lang w:val="en-GB"/>
        </w:rPr>
        <w:t>2</w:t>
      </w:r>
      <w:r w:rsidR="002D0442" w:rsidRPr="007424DF">
        <w:rPr>
          <w:b/>
          <w:bCs/>
          <w:lang w:val="en-GB"/>
        </w:rPr>
        <w:t xml:space="preserve">) </w:t>
      </w:r>
      <w:r w:rsidR="00CA754E">
        <w:rPr>
          <w:b/>
          <w:bCs/>
          <w:lang w:val="en-GB"/>
        </w:rPr>
        <w:t xml:space="preserve">To improve </w:t>
      </w:r>
      <w:r w:rsidR="003B35E5">
        <w:rPr>
          <w:b/>
          <w:bCs/>
          <w:lang w:val="en-GB"/>
        </w:rPr>
        <w:t xml:space="preserve">topology-wide fairness: </w:t>
      </w:r>
      <w:r w:rsidR="002D0442" w:rsidRPr="007424DF">
        <w:rPr>
          <w:b/>
          <w:bCs/>
          <w:lang w:val="en-GB"/>
        </w:rPr>
        <w:t>Fair resource allocation for N:1 mapping between UE radio bearers and BH RLC channel</w:t>
      </w:r>
    </w:p>
    <w:p w14:paraId="16D65659" w14:textId="77777777" w:rsidR="002D0442" w:rsidRDefault="002D0442" w:rsidP="002D0442">
      <w:pPr>
        <w:pStyle w:val="ListParagraph"/>
        <w:keepNext/>
        <w:jc w:val="center"/>
      </w:pPr>
      <w:r>
        <w:object w:dxaOrig="6930" w:dyaOrig="3020" w14:anchorId="64685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91pt" o:ole="">
            <v:imagedata r:id="rId13" o:title=""/>
          </v:shape>
          <o:OLEObject Type="Embed" ProgID="Visio.Drawing.15" ShapeID="_x0000_i1025" DrawAspect="Content" ObjectID="_1689761558" r:id="rId14"/>
        </w:object>
      </w:r>
    </w:p>
    <w:p w14:paraId="37BB5333" w14:textId="4386310D" w:rsidR="002D0442" w:rsidRDefault="002D0442" w:rsidP="002D0442">
      <w:pPr>
        <w:pStyle w:val="Caption"/>
        <w:ind w:left="720"/>
        <w:jc w:val="center"/>
      </w:pPr>
      <w:bookmarkStart w:id="3" w:name="_Ref53481939"/>
      <w:r>
        <w:t xml:space="preserve">Figure </w:t>
      </w:r>
      <w:r>
        <w:fldChar w:fldCharType="begin"/>
      </w:r>
      <w:r>
        <w:instrText>SEQ Figure \* ARABIC</w:instrText>
      </w:r>
      <w:r>
        <w:fldChar w:fldCharType="separate"/>
      </w:r>
      <w:r w:rsidR="007B246A">
        <w:rPr>
          <w:noProof/>
        </w:rPr>
        <w:t>1</w:t>
      </w:r>
      <w:r>
        <w:fldChar w:fldCharType="end"/>
      </w:r>
      <w:bookmarkEnd w:id="3"/>
      <w:r>
        <w:t xml:space="preserve">: Mapping of UE bearers to </w:t>
      </w:r>
      <w:r>
        <w:rPr>
          <w:lang w:val="en-US"/>
        </w:rPr>
        <w:t>BH RLC</w:t>
      </w:r>
      <w:r>
        <w:t xml:space="preserve"> channels</w:t>
      </w:r>
    </w:p>
    <w:p w14:paraId="2873A538" w14:textId="1380DB6B" w:rsidR="002D0442" w:rsidRDefault="002D0442" w:rsidP="002D0442">
      <w:pPr>
        <w:keepNext/>
        <w:rPr>
          <w:lang w:val="en-GB"/>
        </w:rPr>
      </w:pPr>
      <w:r>
        <w:rPr>
          <w:lang w:val="en-GB"/>
        </w:rPr>
        <w:t xml:space="preserve">In Rel-16, it is not always the case that UE radio bearer is 1:1 mapping with BH RLC channel, considering non-GBR radio bearer is also supported. </w:t>
      </w:r>
      <w:r w:rsidRPr="00C443A5">
        <w:rPr>
          <w:lang w:val="en-GB"/>
        </w:rPr>
        <w:t>More than one UE bearer can be mapped to a</w:t>
      </w:r>
      <w:r>
        <w:rPr>
          <w:lang w:val="en-GB"/>
        </w:rPr>
        <w:t xml:space="preserve"> BH RLC channel</w:t>
      </w:r>
      <w:r w:rsidRPr="00C443A5">
        <w:rPr>
          <w:lang w:val="en-GB"/>
        </w:rPr>
        <w:t xml:space="preserve">. </w:t>
      </w:r>
      <w:r w:rsidRPr="00E63354">
        <w:rPr>
          <w:lang w:val="en-GB"/>
        </w:rPr>
        <w:fldChar w:fldCharType="begin"/>
      </w:r>
      <w:r w:rsidRPr="00E63354">
        <w:rPr>
          <w:lang w:val="en-GB"/>
        </w:rPr>
        <w:instrText xml:space="preserve"> REF _Ref53481939 \h  \* MERGEFORMAT </w:instrText>
      </w:r>
      <w:r w:rsidRPr="00E63354">
        <w:rPr>
          <w:lang w:val="en-GB"/>
        </w:rPr>
      </w:r>
      <w:r w:rsidRPr="00E63354">
        <w:rPr>
          <w:lang w:val="en-GB"/>
        </w:rPr>
        <w:fldChar w:fldCharType="separate"/>
      </w:r>
      <w:r w:rsidR="007B246A">
        <w:t xml:space="preserve">Figure </w:t>
      </w:r>
      <w:r w:rsidR="007B246A">
        <w:rPr>
          <w:noProof/>
        </w:rPr>
        <w:t>1</w:t>
      </w:r>
      <w:r w:rsidRPr="00E63354">
        <w:rPr>
          <w:lang w:val="en-GB"/>
        </w:rPr>
        <w:fldChar w:fldCharType="end"/>
      </w:r>
      <w:r w:rsidRPr="00C443A5">
        <w:rPr>
          <w:lang w:val="en-GB"/>
        </w:rPr>
        <w:t xml:space="preserve"> considers all inbound UE bearers have similar QoS properties, and two of the inbound bearers are mapped to one </w:t>
      </w:r>
      <w:r>
        <w:rPr>
          <w:lang w:val="en-GB"/>
        </w:rPr>
        <w:t>BH RLC channel</w:t>
      </w:r>
      <w:r w:rsidRPr="00C443A5">
        <w:rPr>
          <w:lang w:val="en-GB"/>
        </w:rPr>
        <w:t xml:space="preserve">. It is assumed that a </w:t>
      </w:r>
      <w:r>
        <w:rPr>
          <w:lang w:val="en-GB"/>
        </w:rPr>
        <w:t>BH RLC channel</w:t>
      </w:r>
      <w:r w:rsidRPr="00C443A5">
        <w:rPr>
          <w:lang w:val="en-GB"/>
        </w:rPr>
        <w:t xml:space="preserve"> carries only UE bearers with similar QoS characteristics. This enables QoS enforcement via prioritization of </w:t>
      </w:r>
      <w:r>
        <w:rPr>
          <w:lang w:val="en-GB"/>
        </w:rPr>
        <w:t xml:space="preserve">BH RLC </w:t>
      </w:r>
      <w:proofErr w:type="gramStart"/>
      <w:r>
        <w:rPr>
          <w:lang w:val="en-GB"/>
        </w:rPr>
        <w:t>channel</w:t>
      </w:r>
      <w:r w:rsidRPr="00C443A5">
        <w:rPr>
          <w:lang w:val="en-GB"/>
        </w:rPr>
        <w:t>;</w:t>
      </w:r>
      <w:proofErr w:type="gramEnd"/>
      <w:r w:rsidRPr="00C443A5">
        <w:rPr>
          <w:lang w:val="en-GB"/>
        </w:rPr>
        <w:t xml:space="preserve"> i.e., higher QoS UE bearers are carried in higher priority </w:t>
      </w:r>
      <w:r>
        <w:rPr>
          <w:lang w:val="en-GB"/>
        </w:rPr>
        <w:t>BH RLC channel</w:t>
      </w:r>
      <w:r w:rsidRPr="00C443A5">
        <w:rPr>
          <w:lang w:val="en-GB"/>
        </w:rPr>
        <w:t xml:space="preserve">. However, this does not eliminate the possibility that one of the UE bearers carried within the </w:t>
      </w:r>
      <w:r>
        <w:rPr>
          <w:lang w:val="en-GB"/>
        </w:rPr>
        <w:t>BH RLC channel</w:t>
      </w:r>
      <w:r w:rsidRPr="00C443A5">
        <w:rPr>
          <w:lang w:val="en-GB"/>
        </w:rPr>
        <w:t xml:space="preserve"> has much more data traffic.</w:t>
      </w:r>
      <w:r>
        <w:rPr>
          <w:lang w:val="en-GB"/>
        </w:rPr>
        <w:t xml:space="preserve"> By knowing UE bearer ID at the IAB-node, it is possible to </w:t>
      </w:r>
      <w:r>
        <w:rPr>
          <w:lang w:val="en-GB"/>
        </w:rPr>
        <w:lastRenderedPageBreak/>
        <w:t>limit resource allocation to the UE bearer with higher throughput while others can avoid being starved unfairly within the same BH RLC channel.</w:t>
      </w:r>
    </w:p>
    <w:p w14:paraId="77961913" w14:textId="77777777" w:rsidR="002D0442" w:rsidRDefault="002D0442" w:rsidP="002D0442">
      <w:pPr>
        <w:keepNext/>
        <w:rPr>
          <w:lang w:val="en-GB"/>
        </w:rPr>
      </w:pPr>
      <w:r>
        <w:rPr>
          <w:lang w:val="en-GB"/>
        </w:rPr>
        <w:t>One may claim that the same prioritization could be achieved via 1:1 bearer mapping, however, the data volume of each UE bearer cannot be predicted when the mapping is configured. Hence, it is necessary to add UE-bearer ID in BAP header so that each UE bearer can be scheduled fairly.</w:t>
      </w:r>
    </w:p>
    <w:p w14:paraId="544CF5E5" w14:textId="1D21C035" w:rsidR="002D0442" w:rsidRPr="00B81AA4" w:rsidRDefault="002D0442" w:rsidP="002D0442">
      <w:pPr>
        <w:pStyle w:val="ListParagraph"/>
        <w:keepNext/>
        <w:numPr>
          <w:ilvl w:val="0"/>
          <w:numId w:val="8"/>
        </w:numPr>
        <w:ind w:left="0" w:firstLine="0"/>
        <w:rPr>
          <w:b/>
          <w:bCs/>
        </w:rPr>
      </w:pPr>
      <w:bookmarkStart w:id="4" w:name="_Ref71586229"/>
      <w:r w:rsidRPr="08B17480">
        <w:rPr>
          <w:rFonts w:ascii="Times New Roman" w:eastAsia="Times New Roman" w:hAnsi="Times New Roman"/>
          <w:b/>
          <w:bCs/>
          <w:sz w:val="20"/>
          <w:szCs w:val="20"/>
        </w:rPr>
        <w:t>Within the same BH RLC channel, more resource may be allocated to the UE radio bearer with higher throughput, which may lead to unfairness</w:t>
      </w:r>
      <w:r w:rsidR="6DA58FBC" w:rsidRPr="08B17480">
        <w:rPr>
          <w:rFonts w:ascii="Times New Roman" w:eastAsia="Times New Roman" w:hAnsi="Times New Roman"/>
          <w:b/>
          <w:bCs/>
          <w:sz w:val="20"/>
          <w:szCs w:val="20"/>
        </w:rPr>
        <w:t xml:space="preserve"> to other UE bearers</w:t>
      </w:r>
      <w:r w:rsidRPr="08B17480">
        <w:rPr>
          <w:rFonts w:ascii="Times New Roman" w:eastAsia="Times New Roman" w:hAnsi="Times New Roman"/>
          <w:b/>
          <w:bCs/>
          <w:sz w:val="20"/>
          <w:szCs w:val="20"/>
        </w:rPr>
        <w:t>. Fair resource allocation requires UE bearer ID in the BAP header.</w:t>
      </w:r>
      <w:bookmarkEnd w:id="4"/>
    </w:p>
    <w:p w14:paraId="586B98B1" w14:textId="25F30575" w:rsidR="00533EE4" w:rsidRDefault="00334FAB" w:rsidP="00BA3075">
      <w:pPr>
        <w:rPr>
          <w:lang w:val="en-GB"/>
        </w:rPr>
      </w:pPr>
      <w:r>
        <w:rPr>
          <w:lang w:val="en-GB"/>
        </w:rPr>
        <w:t xml:space="preserve">In summary, adding UE bearer ID in the BAP header </w:t>
      </w:r>
      <w:r w:rsidR="006C3788">
        <w:rPr>
          <w:lang w:val="en-GB"/>
        </w:rPr>
        <w:t xml:space="preserve">can help to improve system fairness and latency performance. </w:t>
      </w:r>
      <w:r w:rsidR="00517DFD">
        <w:t xml:space="preserve">As discussed in previous </w:t>
      </w:r>
      <w:r w:rsidR="6203335D">
        <w:t>section</w:t>
      </w:r>
      <w:r w:rsidR="00517DFD">
        <w:t xml:space="preserve">, RAN2 is suggested to prioritize solutions </w:t>
      </w:r>
      <w:r>
        <w:t xml:space="preserve">which can </w:t>
      </w:r>
      <w:r w:rsidR="006C3788">
        <w:t xml:space="preserve">meet requirements from both issues. </w:t>
      </w:r>
      <w:r w:rsidR="00431DFC">
        <w:t>Hence, we think UE bearer ID added in BAP header should be prioritized.</w:t>
      </w:r>
      <w:bookmarkStart w:id="5" w:name="_Ref53497619"/>
    </w:p>
    <w:p w14:paraId="69A78BED" w14:textId="7E3BD51C" w:rsidR="002D0442" w:rsidRDefault="002D0442" w:rsidP="002D0442">
      <w:pPr>
        <w:pStyle w:val="ListParagraph"/>
        <w:numPr>
          <w:ilvl w:val="0"/>
          <w:numId w:val="7"/>
        </w:numPr>
        <w:ind w:left="0" w:firstLine="0"/>
        <w:rPr>
          <w:rFonts w:ascii="Times New Roman" w:hAnsi="Times New Roman"/>
          <w:b/>
          <w:bCs/>
          <w:sz w:val="20"/>
          <w:szCs w:val="20"/>
          <w:lang w:val="en-GB"/>
        </w:rPr>
      </w:pPr>
      <w:bookmarkStart w:id="6" w:name="_Ref78999825"/>
      <w:r w:rsidRPr="179D69AB">
        <w:rPr>
          <w:rFonts w:ascii="Times New Roman" w:hAnsi="Times New Roman"/>
          <w:b/>
          <w:bCs/>
          <w:sz w:val="20"/>
          <w:szCs w:val="20"/>
          <w:lang w:val="en-GB"/>
        </w:rPr>
        <w:t>The BAP header includes UE bearer identity to enable latency optimization for fairness scheduling.</w:t>
      </w:r>
      <w:bookmarkEnd w:id="5"/>
      <w:bookmarkEnd w:id="6"/>
    </w:p>
    <w:p w14:paraId="5BAFEAA6" w14:textId="1294C13E" w:rsidR="002D0442" w:rsidRDefault="002D0442" w:rsidP="002D0442">
      <w:pPr>
        <w:rPr>
          <w:lang w:val="en-GB"/>
        </w:rPr>
      </w:pPr>
      <w:r>
        <w:rPr>
          <w:lang w:val="en-GB"/>
        </w:rPr>
        <w:t xml:space="preserve">It is also proposed in </w:t>
      </w:r>
      <w:r>
        <w:rPr>
          <w:lang w:val="en-GB"/>
        </w:rPr>
        <w:fldChar w:fldCharType="begin"/>
      </w:r>
      <w:r>
        <w:rPr>
          <w:lang w:val="en-GB"/>
        </w:rPr>
        <w:instrText xml:space="preserve"> REF _Ref70842791 \n \h </w:instrText>
      </w:r>
      <w:r>
        <w:rPr>
          <w:lang w:val="en-GB"/>
        </w:rPr>
      </w:r>
      <w:r>
        <w:rPr>
          <w:lang w:val="en-GB"/>
        </w:rPr>
        <w:fldChar w:fldCharType="separate"/>
      </w:r>
      <w:r w:rsidR="007B246A">
        <w:rPr>
          <w:lang w:val="en-GB"/>
        </w:rPr>
        <w:t>[1]</w:t>
      </w:r>
      <w:r>
        <w:rPr>
          <w:lang w:val="en-GB"/>
        </w:rPr>
        <w:fldChar w:fldCharType="end"/>
      </w:r>
      <w:r>
        <w:rPr>
          <w:lang w:val="en-GB"/>
        </w:rPr>
        <w:t>:</w:t>
      </w:r>
    </w:p>
    <w:tbl>
      <w:tblPr>
        <w:tblStyle w:val="TableGrid"/>
        <w:tblW w:w="0" w:type="auto"/>
        <w:tblLook w:val="04A0" w:firstRow="1" w:lastRow="0" w:firstColumn="1" w:lastColumn="0" w:noHBand="0" w:noVBand="1"/>
      </w:tblPr>
      <w:tblGrid>
        <w:gridCol w:w="9350"/>
      </w:tblGrid>
      <w:tr w:rsidR="002D0442" w14:paraId="046BE74F" w14:textId="77777777" w:rsidTr="00540466">
        <w:tc>
          <w:tcPr>
            <w:tcW w:w="9350" w:type="dxa"/>
          </w:tcPr>
          <w:p w14:paraId="1065EFA7" w14:textId="53EC5AA3" w:rsidR="002D0442" w:rsidRDefault="002D0442" w:rsidP="00540466">
            <w:pPr>
              <w:rPr>
                <w:rFonts w:cs="Calibri"/>
                <w:b/>
                <w:bCs/>
              </w:rPr>
            </w:pPr>
            <w:r w:rsidRPr="00036898">
              <w:rPr>
                <w:rFonts w:cs="Calibri"/>
                <w:b/>
                <w:bCs/>
              </w:rPr>
              <w:t>The IAB-node is configurable with the number of bearers aggregated in the BH RLC channel.</w:t>
            </w:r>
            <w:r w:rsidR="0096014E">
              <w:rPr>
                <w:rFonts w:cs="Calibri"/>
                <w:b/>
                <w:bCs/>
              </w:rPr>
              <w:t xml:space="preserve"> </w:t>
            </w:r>
            <w:r w:rsidR="0096014E" w:rsidRPr="0096014E">
              <w:rPr>
                <w:rFonts w:cs="Calibri"/>
                <w:b/>
                <w:bCs/>
                <w:lang w:val="en-GB"/>
              </w:rPr>
              <w:t>(IF1/2/4: R2-2103283 – Fujitsu, IF4: R2-2103499 -Samsung, IL1: R2-2102833 – Intel, IF2: R2-2103138 - ZTE, IF4: R2-2104123 – Huawei).</w:t>
            </w:r>
          </w:p>
          <w:p w14:paraId="06C9BD32" w14:textId="5305DB86" w:rsidR="00AC2B35" w:rsidRPr="00036898" w:rsidRDefault="00E53B62" w:rsidP="00540466">
            <w:pPr>
              <w:rPr>
                <w:rFonts w:cs="Calibri"/>
                <w:b/>
                <w:bCs/>
              </w:rPr>
            </w:pPr>
            <w:r w:rsidRPr="00E53B62">
              <w:rPr>
                <w:rFonts w:cs="Calibri"/>
                <w:b/>
                <w:bCs/>
              </w:rPr>
              <w:t>The number of UE DRBs in a specific BAP packet (IF2: R2-2103940 – Ericsson)</w:t>
            </w:r>
          </w:p>
        </w:tc>
      </w:tr>
    </w:tbl>
    <w:p w14:paraId="3A956165" w14:textId="53F3323E" w:rsidR="002D0442" w:rsidRDefault="00F025DB" w:rsidP="002D0442">
      <w:pPr>
        <w:rPr>
          <w:lang w:val="en-GB"/>
        </w:rPr>
      </w:pPr>
      <w:r>
        <w:rPr>
          <w:lang w:val="en-GB"/>
        </w:rPr>
        <w:t xml:space="preserve">By knowing the number of bearers </w:t>
      </w:r>
      <w:r w:rsidR="002C4B31">
        <w:rPr>
          <w:lang w:val="en-GB"/>
        </w:rPr>
        <w:t xml:space="preserve">may only be helpful </w:t>
      </w:r>
      <w:r w:rsidR="00E82175">
        <w:rPr>
          <w:lang w:val="en-GB"/>
        </w:rPr>
        <w:t xml:space="preserve">to allocate more resources to </w:t>
      </w:r>
      <w:r w:rsidR="00613197">
        <w:rPr>
          <w:lang w:val="en-GB"/>
        </w:rPr>
        <w:t xml:space="preserve">BH RLC channels with higher number of UE bearers during scheduling. </w:t>
      </w:r>
      <w:r w:rsidR="006D7319">
        <w:rPr>
          <w:lang w:val="en-GB"/>
        </w:rPr>
        <w:t xml:space="preserve">However, this may lead to a biased situation between fairness and </w:t>
      </w:r>
      <w:r w:rsidR="00E542A7">
        <w:rPr>
          <w:lang w:val="en-GB"/>
        </w:rPr>
        <w:t>resource allocation</w:t>
      </w:r>
      <w:r w:rsidR="00AD1C12">
        <w:rPr>
          <w:lang w:val="en-GB"/>
        </w:rPr>
        <w:t xml:space="preserve">, which is not preferred. </w:t>
      </w:r>
      <w:r w:rsidR="002D0442">
        <w:rPr>
          <w:lang w:val="en-GB"/>
        </w:rPr>
        <w:t xml:space="preserve">It should </w:t>
      </w:r>
      <w:r w:rsidR="00AD1C12">
        <w:rPr>
          <w:lang w:val="en-GB"/>
        </w:rPr>
        <w:t xml:space="preserve">also </w:t>
      </w:r>
      <w:r w:rsidR="002D0442">
        <w:rPr>
          <w:lang w:val="en-GB"/>
        </w:rPr>
        <w:t>be noted that if UE bearer ID is added in the BAP header, the number of bearers aggregated in the BH RLC channel is then visible to each IAB-node</w:t>
      </w:r>
      <w:r w:rsidR="00AD1C12">
        <w:rPr>
          <w:lang w:val="en-GB"/>
        </w:rPr>
        <w:t xml:space="preserve"> as well</w:t>
      </w:r>
      <w:r w:rsidR="002D0442">
        <w:rPr>
          <w:lang w:val="en-GB"/>
        </w:rPr>
        <w:t>. Thus</w:t>
      </w:r>
      <w:r w:rsidR="006E102A">
        <w:rPr>
          <w:lang w:val="en-GB"/>
        </w:rPr>
        <w:t>,</w:t>
      </w:r>
      <w:r w:rsidR="002D0442">
        <w:rPr>
          <w:lang w:val="en-GB"/>
        </w:rPr>
        <w:t xml:space="preserve"> there’s no need to configure that number additionally.</w:t>
      </w:r>
    </w:p>
    <w:p w14:paraId="0FC6332A" w14:textId="349B4FC6" w:rsidR="002D0442" w:rsidRPr="001A439D" w:rsidRDefault="002D0442" w:rsidP="002D0442">
      <w:pPr>
        <w:pStyle w:val="ListParagraph"/>
        <w:keepNext/>
        <w:numPr>
          <w:ilvl w:val="0"/>
          <w:numId w:val="8"/>
        </w:numPr>
        <w:ind w:left="0" w:firstLine="0"/>
        <w:rPr>
          <w:b/>
          <w:bCs/>
        </w:rPr>
      </w:pPr>
      <w:bookmarkStart w:id="7" w:name="_Ref71586251"/>
      <w:r>
        <w:rPr>
          <w:rFonts w:ascii="Times New Roman" w:eastAsia="Times New Roman" w:hAnsi="Times New Roman"/>
          <w:b/>
          <w:bCs/>
          <w:sz w:val="20"/>
          <w:szCs w:val="20"/>
          <w:lang w:val="en-GB"/>
        </w:rPr>
        <w:t xml:space="preserve">The IAB-node does not need to be configured with the number of bearers aggregated in the BH RLC channel, </w:t>
      </w:r>
      <w:r w:rsidR="00B21D59">
        <w:rPr>
          <w:rFonts w:ascii="Times New Roman" w:eastAsia="Times New Roman" w:hAnsi="Times New Roman"/>
          <w:b/>
          <w:bCs/>
          <w:sz w:val="20"/>
          <w:szCs w:val="20"/>
          <w:lang w:val="en-GB"/>
        </w:rPr>
        <w:t xml:space="preserve">either from configuration or from specific BAP packets, </w:t>
      </w:r>
      <w:r>
        <w:rPr>
          <w:rFonts w:ascii="Times New Roman" w:eastAsia="Times New Roman" w:hAnsi="Times New Roman"/>
          <w:b/>
          <w:bCs/>
          <w:sz w:val="20"/>
          <w:szCs w:val="20"/>
          <w:lang w:val="en-GB"/>
        </w:rPr>
        <w:t>since it is visible to IAB-node if UE bearer ID is added in the BAP header</w:t>
      </w:r>
      <w:r w:rsidRPr="00B81AA4">
        <w:rPr>
          <w:rFonts w:ascii="Times New Roman" w:eastAsia="Times New Roman" w:hAnsi="Times New Roman"/>
          <w:b/>
          <w:bCs/>
          <w:sz w:val="20"/>
          <w:szCs w:val="20"/>
        </w:rPr>
        <w:t>.</w:t>
      </w:r>
      <w:bookmarkEnd w:id="7"/>
    </w:p>
    <w:p w14:paraId="3117A450" w14:textId="6F13F0C1" w:rsidR="007D73F1" w:rsidRPr="002E03E6" w:rsidRDefault="007D73F1" w:rsidP="00BA3075">
      <w:pPr>
        <w:pStyle w:val="Heading3"/>
      </w:pPr>
      <w:r>
        <w:t>Latency related information exten</w:t>
      </w:r>
      <w:r w:rsidR="00FD144B">
        <w:t>sions</w:t>
      </w:r>
      <w:r>
        <w:t xml:space="preserve"> in BAP header</w:t>
      </w:r>
    </w:p>
    <w:p w14:paraId="25F0A5EC" w14:textId="66B608BE" w:rsidR="007D73F1" w:rsidRPr="00C443A5" w:rsidRDefault="007D73F1" w:rsidP="007D73F1">
      <w:pPr>
        <w:pStyle w:val="ListParagraph"/>
        <w:ind w:left="0"/>
        <w:rPr>
          <w:rFonts w:ascii="Times New Roman" w:eastAsia="SimSun" w:hAnsi="Times New Roman"/>
          <w:sz w:val="20"/>
          <w:szCs w:val="20"/>
          <w:lang w:val="en-GB"/>
        </w:rPr>
      </w:pPr>
      <w:r w:rsidRPr="00074A3E">
        <w:rPr>
          <w:rFonts w:ascii="Times New Roman" w:eastAsia="SimSun" w:hAnsi="Times New Roman"/>
          <w:sz w:val="20"/>
          <w:szCs w:val="20"/>
          <w:lang w:val="en-GB"/>
        </w:rPr>
        <w:fldChar w:fldCharType="begin"/>
      </w:r>
      <w:r w:rsidRPr="00C443A5">
        <w:rPr>
          <w:rFonts w:ascii="Times New Roman" w:eastAsia="SimSun" w:hAnsi="Times New Roman"/>
          <w:sz w:val="20"/>
          <w:szCs w:val="20"/>
          <w:lang w:val="en-GB"/>
        </w:rPr>
        <w:instrText xml:space="preserve"> REF _Ref53425626 \h  \* MERGEFORMAT </w:instrText>
      </w:r>
      <w:r w:rsidRPr="00074A3E">
        <w:rPr>
          <w:rFonts w:ascii="Times New Roman" w:eastAsia="SimSun" w:hAnsi="Times New Roman"/>
          <w:sz w:val="20"/>
          <w:szCs w:val="20"/>
          <w:lang w:val="en-GB"/>
        </w:rPr>
      </w:r>
      <w:r w:rsidRPr="00074A3E">
        <w:rPr>
          <w:rFonts w:ascii="Times New Roman" w:eastAsia="SimSun" w:hAnsi="Times New Roman"/>
          <w:sz w:val="20"/>
          <w:szCs w:val="20"/>
          <w:lang w:val="en-GB"/>
        </w:rPr>
        <w:fldChar w:fldCharType="separate"/>
      </w:r>
      <w:r w:rsidR="007B246A" w:rsidRPr="007B246A">
        <w:rPr>
          <w:rFonts w:ascii="Times New Roman" w:eastAsia="SimSun" w:hAnsi="Times New Roman"/>
          <w:sz w:val="20"/>
          <w:szCs w:val="20"/>
          <w:lang w:val="en-GB"/>
        </w:rPr>
        <w:t>Figure 2</w:t>
      </w:r>
      <w:r w:rsidRPr="00074A3E">
        <w:rPr>
          <w:rFonts w:ascii="Times New Roman" w:eastAsia="SimSun" w:hAnsi="Times New Roman"/>
          <w:sz w:val="20"/>
          <w:szCs w:val="20"/>
          <w:lang w:val="en-GB"/>
        </w:rPr>
        <w:fldChar w:fldCharType="end"/>
      </w:r>
      <w:r w:rsidRPr="001A7C1F">
        <w:rPr>
          <w:rFonts w:ascii="Times New Roman" w:eastAsia="SimSun" w:hAnsi="Times New Roman"/>
          <w:lang w:val="en-GB"/>
        </w:rPr>
        <w:t xml:space="preserve"> </w:t>
      </w:r>
      <w:r w:rsidRPr="00C443A5">
        <w:rPr>
          <w:rFonts w:ascii="Times New Roman" w:eastAsia="SimSun" w:hAnsi="Times New Roman"/>
          <w:sz w:val="20"/>
          <w:szCs w:val="20"/>
          <w:lang w:val="en-GB"/>
        </w:rPr>
        <w:t>shows an example of IAB network with multiple hops and 6 attached UEs, it is assumed UE1, UE2, UE3 and UE4 have single radio bearer with same QoS profile. Assuming routing paths of 4 UEs follow the below table:</w:t>
      </w:r>
    </w:p>
    <w:tbl>
      <w:tblPr>
        <w:tblStyle w:val="TableGrid"/>
        <w:tblW w:w="0" w:type="auto"/>
        <w:jc w:val="center"/>
        <w:tblLook w:val="04A0" w:firstRow="1" w:lastRow="0" w:firstColumn="1" w:lastColumn="0" w:noHBand="0" w:noVBand="1"/>
      </w:tblPr>
      <w:tblGrid>
        <w:gridCol w:w="805"/>
        <w:gridCol w:w="5453"/>
      </w:tblGrid>
      <w:tr w:rsidR="007D73F1" w:rsidRPr="0079534E" w14:paraId="793AE3BE" w14:textId="77777777" w:rsidTr="00E06E3D">
        <w:trPr>
          <w:trHeight w:val="251"/>
          <w:jc w:val="center"/>
        </w:trPr>
        <w:tc>
          <w:tcPr>
            <w:tcW w:w="805" w:type="dxa"/>
          </w:tcPr>
          <w:p w14:paraId="1C1A0CDA" w14:textId="77777777" w:rsidR="007D73F1" w:rsidRPr="007B080F" w:rsidRDefault="007D73F1" w:rsidP="00E06E3D">
            <w:pPr>
              <w:overflowPunct/>
              <w:autoSpaceDE/>
              <w:autoSpaceDN/>
              <w:adjustRightInd/>
              <w:spacing w:after="0" w:line="276" w:lineRule="auto"/>
              <w:ind w:left="-114" w:right="-126"/>
              <w:contextualSpacing/>
              <w:jc w:val="center"/>
              <w:textAlignment w:val="auto"/>
              <w:rPr>
                <w:b/>
                <w:bCs/>
                <w:lang w:val="en-GB"/>
              </w:rPr>
            </w:pPr>
            <w:r w:rsidRPr="007B080F">
              <w:rPr>
                <w:b/>
                <w:bCs/>
                <w:lang w:val="en-GB"/>
              </w:rPr>
              <w:t>UE ID</w:t>
            </w:r>
          </w:p>
        </w:tc>
        <w:tc>
          <w:tcPr>
            <w:tcW w:w="5453" w:type="dxa"/>
          </w:tcPr>
          <w:p w14:paraId="2E6BD0ED" w14:textId="77777777" w:rsidR="007D73F1" w:rsidRPr="007B080F" w:rsidRDefault="007D73F1" w:rsidP="00E06E3D">
            <w:pPr>
              <w:overflowPunct/>
              <w:autoSpaceDE/>
              <w:autoSpaceDN/>
              <w:adjustRightInd/>
              <w:spacing w:after="0" w:line="276" w:lineRule="auto"/>
              <w:ind w:left="-110" w:right="-56"/>
              <w:contextualSpacing/>
              <w:jc w:val="center"/>
              <w:textAlignment w:val="auto"/>
              <w:rPr>
                <w:b/>
                <w:bCs/>
                <w:lang w:val="en-GB"/>
              </w:rPr>
            </w:pPr>
            <w:r w:rsidRPr="007B080F">
              <w:rPr>
                <w:b/>
                <w:bCs/>
                <w:lang w:val="en-GB"/>
              </w:rPr>
              <w:t>Routing Path</w:t>
            </w:r>
          </w:p>
        </w:tc>
      </w:tr>
      <w:tr w:rsidR="007D73F1" w:rsidRPr="0079534E" w14:paraId="5A828574" w14:textId="77777777" w:rsidTr="00E06E3D">
        <w:trPr>
          <w:jc w:val="center"/>
        </w:trPr>
        <w:tc>
          <w:tcPr>
            <w:tcW w:w="805" w:type="dxa"/>
          </w:tcPr>
          <w:p w14:paraId="633FF372" w14:textId="77777777" w:rsidR="007D73F1" w:rsidRPr="007B080F" w:rsidRDefault="007D73F1" w:rsidP="00E06E3D">
            <w:pPr>
              <w:overflowPunct/>
              <w:autoSpaceDE/>
              <w:autoSpaceDN/>
              <w:adjustRightInd/>
              <w:spacing w:after="0" w:line="276" w:lineRule="auto"/>
              <w:ind w:left="-114" w:right="-126"/>
              <w:contextualSpacing/>
              <w:jc w:val="center"/>
              <w:textAlignment w:val="auto"/>
              <w:rPr>
                <w:lang w:val="en-GB"/>
              </w:rPr>
            </w:pPr>
            <w:r w:rsidRPr="007B080F">
              <w:rPr>
                <w:lang w:val="en-GB"/>
              </w:rPr>
              <w:t>UE1</w:t>
            </w:r>
          </w:p>
        </w:tc>
        <w:tc>
          <w:tcPr>
            <w:tcW w:w="5453" w:type="dxa"/>
          </w:tcPr>
          <w:p w14:paraId="276B4D55" w14:textId="1B063C65" w:rsidR="007D73F1" w:rsidRPr="007B080F" w:rsidRDefault="007D73F1" w:rsidP="00E06E3D">
            <w:pPr>
              <w:overflowPunct/>
              <w:autoSpaceDE/>
              <w:autoSpaceDN/>
              <w:adjustRightInd/>
              <w:spacing w:after="0" w:line="276" w:lineRule="auto"/>
              <w:ind w:left="-20" w:right="-56"/>
              <w:contextualSpacing/>
              <w:textAlignment w:val="auto"/>
              <w:rPr>
                <w:lang w:val="en-GB"/>
              </w:rPr>
            </w:pPr>
            <w:r w:rsidRPr="007B080F">
              <w:rPr>
                <w:lang w:val="en-GB"/>
              </w:rPr>
              <w:t>IAB</w:t>
            </w:r>
            <w:r w:rsidR="00034CC6">
              <w:rPr>
                <w:lang w:val="en-GB"/>
              </w:rPr>
              <w:t>-</w:t>
            </w:r>
            <w:r w:rsidRPr="007B080F">
              <w:rPr>
                <w:lang w:val="en-GB"/>
              </w:rPr>
              <w:t xml:space="preserve">node 2 </w:t>
            </w:r>
            <w:r>
              <w:rPr>
                <w:lang w:val="en-GB"/>
              </w:rPr>
              <w:t>&lt;</w:t>
            </w:r>
            <w:r w:rsidRPr="007B080F">
              <w:rPr>
                <w:lang w:val="en-GB"/>
              </w:rPr>
              <w:t>-&gt; IAB</w:t>
            </w:r>
            <w:r w:rsidR="00034CC6">
              <w:rPr>
                <w:lang w:val="en-GB"/>
              </w:rPr>
              <w:t>-</w:t>
            </w:r>
            <w:r w:rsidRPr="007B080F">
              <w:rPr>
                <w:lang w:val="en-GB"/>
              </w:rPr>
              <w:t>Donor</w:t>
            </w:r>
          </w:p>
        </w:tc>
      </w:tr>
      <w:tr w:rsidR="007D73F1" w:rsidRPr="0079534E" w14:paraId="6BD2DE6A" w14:textId="77777777" w:rsidTr="00E06E3D">
        <w:trPr>
          <w:jc w:val="center"/>
        </w:trPr>
        <w:tc>
          <w:tcPr>
            <w:tcW w:w="805" w:type="dxa"/>
          </w:tcPr>
          <w:p w14:paraId="5C46893B" w14:textId="77777777" w:rsidR="007D73F1" w:rsidRPr="007B080F" w:rsidRDefault="007D73F1" w:rsidP="00E06E3D">
            <w:pPr>
              <w:overflowPunct/>
              <w:autoSpaceDE/>
              <w:autoSpaceDN/>
              <w:adjustRightInd/>
              <w:spacing w:after="0" w:line="276" w:lineRule="auto"/>
              <w:ind w:left="-114" w:right="-126"/>
              <w:contextualSpacing/>
              <w:jc w:val="center"/>
              <w:textAlignment w:val="auto"/>
              <w:rPr>
                <w:lang w:val="en-GB"/>
              </w:rPr>
            </w:pPr>
            <w:r w:rsidRPr="007B080F">
              <w:rPr>
                <w:lang w:val="en-GB"/>
              </w:rPr>
              <w:t>UE2</w:t>
            </w:r>
          </w:p>
        </w:tc>
        <w:tc>
          <w:tcPr>
            <w:tcW w:w="5453" w:type="dxa"/>
          </w:tcPr>
          <w:p w14:paraId="190B9153" w14:textId="32EE0579" w:rsidR="007D73F1" w:rsidRPr="007B080F" w:rsidRDefault="007D73F1" w:rsidP="00E06E3D">
            <w:pPr>
              <w:overflowPunct/>
              <w:autoSpaceDE/>
              <w:autoSpaceDN/>
              <w:adjustRightInd/>
              <w:spacing w:after="0" w:line="276" w:lineRule="auto"/>
              <w:ind w:left="-20" w:right="-56"/>
              <w:contextualSpacing/>
              <w:textAlignment w:val="auto"/>
              <w:rPr>
                <w:lang w:val="en-GB"/>
              </w:rPr>
            </w:pPr>
            <w:r w:rsidRPr="007B080F">
              <w:rPr>
                <w:lang w:val="en-GB"/>
              </w:rPr>
              <w:t>IAB</w:t>
            </w:r>
            <w:r w:rsidR="00034CC6">
              <w:rPr>
                <w:lang w:val="en-GB"/>
              </w:rPr>
              <w:t>-</w:t>
            </w:r>
            <w:r w:rsidRPr="007B080F">
              <w:rPr>
                <w:lang w:val="en-GB"/>
              </w:rPr>
              <w:t xml:space="preserve">node 4 </w:t>
            </w:r>
            <w:r>
              <w:rPr>
                <w:lang w:val="en-GB"/>
              </w:rPr>
              <w:t>&lt;</w:t>
            </w:r>
            <w:r w:rsidRPr="007B080F">
              <w:rPr>
                <w:lang w:val="en-GB"/>
              </w:rPr>
              <w:t>-&gt; IAB</w:t>
            </w:r>
            <w:r w:rsidR="00034CC6">
              <w:rPr>
                <w:lang w:val="en-GB"/>
              </w:rPr>
              <w:t>-</w:t>
            </w:r>
            <w:r w:rsidRPr="007B080F">
              <w:rPr>
                <w:lang w:val="en-GB"/>
              </w:rPr>
              <w:t xml:space="preserve">node 1 </w:t>
            </w:r>
            <w:r>
              <w:rPr>
                <w:lang w:val="en-GB"/>
              </w:rPr>
              <w:t>&lt;</w:t>
            </w:r>
            <w:r w:rsidRPr="007B080F">
              <w:rPr>
                <w:lang w:val="en-GB"/>
              </w:rPr>
              <w:t>-&gt; IAB</w:t>
            </w:r>
            <w:r w:rsidR="00034CC6">
              <w:rPr>
                <w:lang w:val="en-GB"/>
              </w:rPr>
              <w:t>-</w:t>
            </w:r>
            <w:r w:rsidRPr="007B080F">
              <w:rPr>
                <w:lang w:val="en-GB"/>
              </w:rPr>
              <w:t>Donor</w:t>
            </w:r>
          </w:p>
        </w:tc>
      </w:tr>
      <w:tr w:rsidR="007D73F1" w:rsidRPr="0079534E" w14:paraId="03DB7BCD" w14:textId="77777777" w:rsidTr="00E06E3D">
        <w:trPr>
          <w:jc w:val="center"/>
        </w:trPr>
        <w:tc>
          <w:tcPr>
            <w:tcW w:w="805" w:type="dxa"/>
          </w:tcPr>
          <w:p w14:paraId="13AB6A5E" w14:textId="77777777" w:rsidR="007D73F1" w:rsidRPr="007B080F" w:rsidRDefault="007D73F1" w:rsidP="00E06E3D">
            <w:pPr>
              <w:overflowPunct/>
              <w:autoSpaceDE/>
              <w:autoSpaceDN/>
              <w:adjustRightInd/>
              <w:spacing w:after="0" w:line="276" w:lineRule="auto"/>
              <w:ind w:left="-114" w:right="-126"/>
              <w:contextualSpacing/>
              <w:jc w:val="center"/>
              <w:textAlignment w:val="auto"/>
              <w:rPr>
                <w:lang w:val="en-GB"/>
              </w:rPr>
            </w:pPr>
            <w:r w:rsidRPr="007B080F">
              <w:rPr>
                <w:lang w:val="en-GB"/>
              </w:rPr>
              <w:t>UE3</w:t>
            </w:r>
          </w:p>
        </w:tc>
        <w:tc>
          <w:tcPr>
            <w:tcW w:w="5453" w:type="dxa"/>
          </w:tcPr>
          <w:p w14:paraId="321C5451" w14:textId="7E787457" w:rsidR="007D73F1" w:rsidRPr="007B080F" w:rsidRDefault="007D73F1" w:rsidP="00E06E3D">
            <w:pPr>
              <w:overflowPunct/>
              <w:autoSpaceDE/>
              <w:autoSpaceDN/>
              <w:adjustRightInd/>
              <w:spacing w:after="0" w:line="276" w:lineRule="auto"/>
              <w:ind w:left="-20" w:right="-56"/>
              <w:contextualSpacing/>
              <w:textAlignment w:val="auto"/>
              <w:rPr>
                <w:lang w:val="en-GB"/>
              </w:rPr>
            </w:pPr>
            <w:r w:rsidRPr="007B080F">
              <w:rPr>
                <w:lang w:val="en-GB"/>
              </w:rPr>
              <w:t>IAB</w:t>
            </w:r>
            <w:r w:rsidR="00034CC6">
              <w:rPr>
                <w:lang w:val="en-GB"/>
              </w:rPr>
              <w:t>-</w:t>
            </w:r>
            <w:r w:rsidRPr="007B080F">
              <w:rPr>
                <w:lang w:val="en-GB"/>
              </w:rPr>
              <w:t xml:space="preserve">node 5 </w:t>
            </w:r>
            <w:r>
              <w:rPr>
                <w:lang w:val="en-GB"/>
              </w:rPr>
              <w:t>&lt;</w:t>
            </w:r>
            <w:r w:rsidRPr="007B080F">
              <w:rPr>
                <w:lang w:val="en-GB"/>
              </w:rPr>
              <w:t>-&gt; IAB</w:t>
            </w:r>
            <w:r w:rsidR="00034CC6">
              <w:rPr>
                <w:lang w:val="en-GB"/>
              </w:rPr>
              <w:t>-</w:t>
            </w:r>
            <w:r w:rsidRPr="007B080F">
              <w:rPr>
                <w:lang w:val="en-GB"/>
              </w:rPr>
              <w:t xml:space="preserve">node 2 </w:t>
            </w:r>
            <w:r>
              <w:rPr>
                <w:lang w:val="en-GB"/>
              </w:rPr>
              <w:t>&lt;</w:t>
            </w:r>
            <w:r w:rsidRPr="007B080F">
              <w:rPr>
                <w:lang w:val="en-GB"/>
              </w:rPr>
              <w:t>-&gt; IAB</w:t>
            </w:r>
            <w:r w:rsidR="00034CC6">
              <w:rPr>
                <w:lang w:val="en-GB"/>
              </w:rPr>
              <w:t>-</w:t>
            </w:r>
            <w:r w:rsidRPr="007B080F">
              <w:rPr>
                <w:lang w:val="en-GB"/>
              </w:rPr>
              <w:t>Donor</w:t>
            </w:r>
          </w:p>
        </w:tc>
      </w:tr>
      <w:tr w:rsidR="007D73F1" w:rsidRPr="0079534E" w14:paraId="30BD0321" w14:textId="77777777" w:rsidTr="00E06E3D">
        <w:trPr>
          <w:jc w:val="center"/>
        </w:trPr>
        <w:tc>
          <w:tcPr>
            <w:tcW w:w="805" w:type="dxa"/>
          </w:tcPr>
          <w:p w14:paraId="162908D2" w14:textId="77777777" w:rsidR="007D73F1" w:rsidRPr="007B080F" w:rsidRDefault="007D73F1" w:rsidP="00E06E3D">
            <w:pPr>
              <w:overflowPunct/>
              <w:autoSpaceDE/>
              <w:autoSpaceDN/>
              <w:adjustRightInd/>
              <w:spacing w:after="0" w:line="276" w:lineRule="auto"/>
              <w:ind w:left="-114" w:right="-126"/>
              <w:contextualSpacing/>
              <w:jc w:val="center"/>
              <w:textAlignment w:val="auto"/>
              <w:rPr>
                <w:lang w:val="en-GB"/>
              </w:rPr>
            </w:pPr>
            <w:r w:rsidRPr="007B080F">
              <w:rPr>
                <w:lang w:val="en-GB"/>
              </w:rPr>
              <w:t>UE4</w:t>
            </w:r>
          </w:p>
        </w:tc>
        <w:tc>
          <w:tcPr>
            <w:tcW w:w="5453" w:type="dxa"/>
          </w:tcPr>
          <w:p w14:paraId="3F440D3F" w14:textId="1AFD69B5" w:rsidR="007D73F1" w:rsidRPr="007B080F" w:rsidRDefault="007D73F1" w:rsidP="00E06E3D">
            <w:pPr>
              <w:overflowPunct/>
              <w:autoSpaceDE/>
              <w:autoSpaceDN/>
              <w:adjustRightInd/>
              <w:spacing w:after="0" w:line="276" w:lineRule="auto"/>
              <w:ind w:left="-20" w:right="-56"/>
              <w:contextualSpacing/>
              <w:textAlignment w:val="auto"/>
              <w:rPr>
                <w:lang w:val="en-GB"/>
              </w:rPr>
            </w:pPr>
            <w:r w:rsidRPr="007B080F">
              <w:rPr>
                <w:lang w:val="en-GB"/>
              </w:rPr>
              <w:t>IAB</w:t>
            </w:r>
            <w:r w:rsidR="00034CC6">
              <w:rPr>
                <w:lang w:val="en-GB"/>
              </w:rPr>
              <w:t>-</w:t>
            </w:r>
            <w:r w:rsidRPr="007B080F">
              <w:rPr>
                <w:lang w:val="en-GB"/>
              </w:rPr>
              <w:t xml:space="preserve">node 6 </w:t>
            </w:r>
            <w:r>
              <w:rPr>
                <w:lang w:val="en-GB"/>
              </w:rPr>
              <w:t>&lt;</w:t>
            </w:r>
            <w:r w:rsidRPr="007B080F">
              <w:rPr>
                <w:lang w:val="en-GB"/>
              </w:rPr>
              <w:t>-&gt; IAB</w:t>
            </w:r>
            <w:r w:rsidR="00034CC6">
              <w:rPr>
                <w:lang w:val="en-GB"/>
              </w:rPr>
              <w:t>-</w:t>
            </w:r>
            <w:r w:rsidRPr="007B080F">
              <w:rPr>
                <w:lang w:val="en-GB"/>
              </w:rPr>
              <w:t xml:space="preserve">node 5 </w:t>
            </w:r>
            <w:r>
              <w:rPr>
                <w:lang w:val="en-GB"/>
              </w:rPr>
              <w:t>&lt;</w:t>
            </w:r>
            <w:r w:rsidRPr="007B080F">
              <w:rPr>
                <w:lang w:val="en-GB"/>
              </w:rPr>
              <w:t>-&gt; IAB</w:t>
            </w:r>
            <w:r w:rsidR="00034CC6">
              <w:rPr>
                <w:lang w:val="en-GB"/>
              </w:rPr>
              <w:t>-</w:t>
            </w:r>
            <w:r w:rsidRPr="007B080F">
              <w:rPr>
                <w:lang w:val="en-GB"/>
              </w:rPr>
              <w:t xml:space="preserve">node 2 </w:t>
            </w:r>
            <w:r>
              <w:rPr>
                <w:lang w:val="en-GB"/>
              </w:rPr>
              <w:t>&lt;</w:t>
            </w:r>
            <w:r w:rsidRPr="007B080F">
              <w:rPr>
                <w:lang w:val="en-GB"/>
              </w:rPr>
              <w:t>-&gt; IAB</w:t>
            </w:r>
            <w:r w:rsidR="00034CC6">
              <w:rPr>
                <w:lang w:val="en-GB"/>
              </w:rPr>
              <w:t>-</w:t>
            </w:r>
            <w:r w:rsidRPr="007B080F">
              <w:rPr>
                <w:lang w:val="en-GB"/>
              </w:rPr>
              <w:t>Donor</w:t>
            </w:r>
          </w:p>
        </w:tc>
      </w:tr>
    </w:tbl>
    <w:p w14:paraId="5E2DC946" w14:textId="77777777" w:rsidR="007D73F1" w:rsidRDefault="007D73F1" w:rsidP="007D73F1">
      <w:pPr>
        <w:keepNext/>
        <w:jc w:val="center"/>
      </w:pPr>
      <w:r>
        <w:object w:dxaOrig="6940" w:dyaOrig="7110" w14:anchorId="66E2CD73">
          <v:shape id="_x0000_i1026" type="#_x0000_t75" style="width:186pt;height:191.5pt" o:ole="">
            <v:imagedata r:id="rId15" o:title=""/>
          </v:shape>
          <o:OLEObject Type="Embed" ProgID="Visio.Drawing.15" ShapeID="_x0000_i1026" DrawAspect="Content" ObjectID="_1689761559" r:id="rId16"/>
        </w:object>
      </w:r>
    </w:p>
    <w:p w14:paraId="1D8F7CCA" w14:textId="23EF6315" w:rsidR="007D73F1" w:rsidRDefault="007D73F1" w:rsidP="007D73F1">
      <w:pPr>
        <w:pStyle w:val="Caption"/>
        <w:jc w:val="center"/>
        <w:rPr>
          <w:lang w:val="en-GB"/>
        </w:rPr>
      </w:pPr>
      <w:bookmarkStart w:id="8" w:name="_Ref53425626"/>
      <w:r>
        <w:t xml:space="preserve">Figure </w:t>
      </w:r>
      <w:r>
        <w:fldChar w:fldCharType="begin"/>
      </w:r>
      <w:r>
        <w:instrText>SEQ Figure \* ARABIC</w:instrText>
      </w:r>
      <w:r>
        <w:fldChar w:fldCharType="separate"/>
      </w:r>
      <w:r w:rsidR="007B246A">
        <w:rPr>
          <w:noProof/>
        </w:rPr>
        <w:t>2</w:t>
      </w:r>
      <w:r>
        <w:fldChar w:fldCharType="end"/>
      </w:r>
      <w:bookmarkEnd w:id="8"/>
      <w:r>
        <w:rPr>
          <w:lang w:val="en-US"/>
        </w:rPr>
        <w:t>: Same QoS requirement of UEs at different level in an IAB network</w:t>
      </w:r>
    </w:p>
    <w:p w14:paraId="24B31C9D" w14:textId="77777777" w:rsidR="007D73F1" w:rsidRDefault="007D73F1" w:rsidP="007D73F1">
      <w:pPr>
        <w:rPr>
          <w:lang w:val="en-GB"/>
        </w:rPr>
      </w:pPr>
      <w:r>
        <w:rPr>
          <w:lang w:val="en-GB"/>
        </w:rPr>
        <w:t>Agreed issue IL-1 shows that accumulated multi-hop latency is one of the reasons causing topology-wide unfairness.</w:t>
      </w:r>
    </w:p>
    <w:tbl>
      <w:tblPr>
        <w:tblStyle w:val="TableGrid"/>
        <w:tblW w:w="0" w:type="auto"/>
        <w:tblLook w:val="04A0" w:firstRow="1" w:lastRow="0" w:firstColumn="1" w:lastColumn="0" w:noHBand="0" w:noVBand="1"/>
      </w:tblPr>
      <w:tblGrid>
        <w:gridCol w:w="9350"/>
      </w:tblGrid>
      <w:tr w:rsidR="007D73F1" w14:paraId="504B842C" w14:textId="77777777" w:rsidTr="00E06E3D">
        <w:tc>
          <w:tcPr>
            <w:tcW w:w="9350" w:type="dxa"/>
          </w:tcPr>
          <w:p w14:paraId="065D749A" w14:textId="77777777" w:rsidR="007D73F1" w:rsidRPr="00026AE4" w:rsidRDefault="007D73F1" w:rsidP="00AE33CA">
            <w:pPr>
              <w:pStyle w:val="Agreement"/>
              <w:tabs>
                <w:tab w:val="num" w:pos="1619"/>
              </w:tabs>
              <w:rPr>
                <w:b/>
                <w:bCs/>
              </w:rPr>
            </w:pPr>
            <w:r w:rsidRPr="00026AE4">
              <w:rPr>
                <w:b/>
                <w:bCs/>
              </w:rPr>
              <w:t xml:space="preserve">ISSUES: In the first instance, </w:t>
            </w:r>
            <w:proofErr w:type="spellStart"/>
            <w:r w:rsidRPr="00026AE4">
              <w:rPr>
                <w:b/>
                <w:bCs/>
              </w:rPr>
              <w:t>eIAB</w:t>
            </w:r>
            <w:proofErr w:type="spellEnd"/>
            <w:r w:rsidRPr="00026AE4">
              <w:rPr>
                <w:b/>
                <w:bCs/>
              </w:rPr>
              <w:t xml:space="preserve"> work on multi-hop latency will focus on the following issues:</w:t>
            </w:r>
          </w:p>
          <w:p w14:paraId="4A4EE8F3" w14:textId="77777777" w:rsidR="007D73F1" w:rsidRPr="00026AE4" w:rsidRDefault="007D73F1" w:rsidP="00E06E3D">
            <w:pPr>
              <w:pStyle w:val="Agreement"/>
              <w:numPr>
                <w:ilvl w:val="0"/>
                <w:numId w:val="0"/>
              </w:numPr>
              <w:ind w:left="720"/>
              <w:rPr>
                <w:sz w:val="16"/>
                <w:lang w:eastAsia="zh-CN"/>
              </w:rPr>
            </w:pPr>
            <w:r w:rsidRPr="00026AE4">
              <w:rPr>
                <w:b/>
                <w:bCs/>
              </w:rPr>
              <w:t xml:space="preserve">IL-1: IAB node cannot help </w:t>
            </w:r>
            <w:proofErr w:type="gramStart"/>
            <w:r w:rsidRPr="00026AE4">
              <w:rPr>
                <w:b/>
                <w:bCs/>
              </w:rPr>
              <w:t>ensure</w:t>
            </w:r>
            <w:proofErr w:type="gramEnd"/>
            <w:r w:rsidRPr="00026AE4">
              <w:rPr>
                <w:b/>
                <w:bCs/>
              </w:rPr>
              <w:t xml:space="preserve"> that overall or remaining PDB is met for a packet (e.g. by prioritizing bearers with higher number of hops), as it does not have a latency reference for the packets being scheduled, resulting in packets with the same QoS requirement ending up with different latency</w:t>
            </w:r>
          </w:p>
        </w:tc>
      </w:tr>
    </w:tbl>
    <w:p w14:paraId="4BDB53EC" w14:textId="15721D0A" w:rsidR="005946DB" w:rsidRDefault="007D73F1" w:rsidP="007D73F1">
      <w:r>
        <w:t>To better facilitate intermediate IAB</w:t>
      </w:r>
      <w:r w:rsidR="00972FD2">
        <w:t>-</w:t>
      </w:r>
      <w:r>
        <w:t xml:space="preserve">node to make fairness scheduling decision and reduce latency, hop count is very important to assist upstream traffic topology-wide fairness. For example, in </w:t>
      </w:r>
      <w:r>
        <w:fldChar w:fldCharType="begin"/>
      </w:r>
      <w:r>
        <w:instrText xml:space="preserve"> REF _Ref53425626 \h </w:instrText>
      </w:r>
      <w:r>
        <w:fldChar w:fldCharType="separate"/>
      </w:r>
      <w:r w:rsidR="007B246A">
        <w:t xml:space="preserve">Figure </w:t>
      </w:r>
      <w:r w:rsidR="007B246A">
        <w:rPr>
          <w:noProof/>
        </w:rPr>
        <w:t>2</w:t>
      </w:r>
      <w:r>
        <w:fldChar w:fldCharType="end"/>
      </w:r>
      <w:r>
        <w:t>, IAB</w:t>
      </w:r>
      <w:r w:rsidR="00972FD2">
        <w:t>-</w:t>
      </w:r>
      <w:r>
        <w:t>node 5 is responsible for resource scheduling for UE3 and IAB</w:t>
      </w:r>
      <w:r w:rsidR="00972FD2">
        <w:t>-</w:t>
      </w:r>
      <w:r>
        <w:t>node 6 (UE4 attached). The ingress BH RLC channel of IAB</w:t>
      </w:r>
      <w:r w:rsidR="00972FD2">
        <w:t>-</w:t>
      </w:r>
      <w:r>
        <w:t>node 5 (containing UE4 bearer) has same QoS requirement as UE3. Comparing with UE3, UE4 has one more hop in its routing path to IAB</w:t>
      </w:r>
      <w:r w:rsidR="00972FD2">
        <w:t>-</w:t>
      </w:r>
      <w:r>
        <w:t xml:space="preserve">donor, </w:t>
      </w:r>
      <w:proofErr w:type="gramStart"/>
      <w:r>
        <w:t>in order to</w:t>
      </w:r>
      <w:proofErr w:type="gramEnd"/>
      <w:r>
        <w:t xml:space="preserve"> avoid longer latency of UE4 caused by multiple more hop-count, IAB</w:t>
      </w:r>
      <w:r w:rsidR="00972FD2">
        <w:t>-</w:t>
      </w:r>
      <w:r>
        <w:t>node 5 should set higher priority to the ingress egress BH RLC channel from of IAB</w:t>
      </w:r>
      <w:r w:rsidR="00972FD2">
        <w:t>-</w:t>
      </w:r>
      <w:r>
        <w:t xml:space="preserve">node 6. </w:t>
      </w:r>
      <w:r w:rsidR="0077375C">
        <w:t>However, IAB</w:t>
      </w:r>
      <w:r w:rsidR="00972FD2">
        <w:t>-</w:t>
      </w:r>
      <w:r w:rsidR="0077375C">
        <w:t xml:space="preserve">node 5 has no awareness of the existence of UE4, only BAP header can be decoded. Hence, </w:t>
      </w:r>
      <w:r w:rsidR="00972FD2">
        <w:t>additional information</w:t>
      </w:r>
      <w:r w:rsidR="0077375C">
        <w:t xml:space="preserve"> </w:t>
      </w:r>
      <w:r w:rsidR="00972FD2">
        <w:t>needs to be transmitted to IAB-node 5</w:t>
      </w:r>
      <w:r w:rsidR="0077375C">
        <w:t xml:space="preserve"> to assist </w:t>
      </w:r>
      <w:r w:rsidR="00972FD2">
        <w:t>its</w:t>
      </w:r>
      <w:r w:rsidR="0077375C">
        <w:t xml:space="preserve"> fairness scheduling.</w:t>
      </w:r>
    </w:p>
    <w:p w14:paraId="0DA4EF8F" w14:textId="4493A6EC" w:rsidR="005946DB" w:rsidRDefault="005946DB" w:rsidP="007D73F1">
      <w:r>
        <w:t xml:space="preserve">It is also proposed in </w:t>
      </w:r>
      <w:r>
        <w:fldChar w:fldCharType="begin"/>
      </w:r>
      <w:r>
        <w:instrText xml:space="preserve"> REF _Ref70842791 \n \h </w:instrText>
      </w:r>
      <w:r>
        <w:fldChar w:fldCharType="separate"/>
      </w:r>
      <w:r w:rsidR="007B246A">
        <w:t>[1]</w:t>
      </w:r>
      <w:r>
        <w:fldChar w:fldCharType="end"/>
      </w:r>
      <w:r w:rsidR="00426AD8">
        <w:t xml:space="preserve"> as proposal 5 that:</w:t>
      </w:r>
    </w:p>
    <w:tbl>
      <w:tblPr>
        <w:tblStyle w:val="TableGrid"/>
        <w:tblW w:w="0" w:type="auto"/>
        <w:tblLook w:val="04A0" w:firstRow="1" w:lastRow="0" w:firstColumn="1" w:lastColumn="0" w:noHBand="0" w:noVBand="1"/>
      </w:tblPr>
      <w:tblGrid>
        <w:gridCol w:w="9350"/>
      </w:tblGrid>
      <w:tr w:rsidR="00426AD8" w14:paraId="1D6E0403" w14:textId="77777777" w:rsidTr="00426AD8">
        <w:tc>
          <w:tcPr>
            <w:tcW w:w="9350" w:type="dxa"/>
          </w:tcPr>
          <w:p w14:paraId="36D4D14B" w14:textId="0329F032" w:rsidR="00426AD8" w:rsidRPr="00426AD8" w:rsidRDefault="00426AD8" w:rsidP="007D73F1">
            <w:pPr>
              <w:rPr>
                <w:rFonts w:cs="Calibri"/>
                <w:b/>
                <w:bCs/>
              </w:rPr>
            </w:pPr>
            <w:r w:rsidRPr="00426AD8">
              <w:rPr>
                <w:rFonts w:cs="Calibri"/>
                <w:b/>
                <w:bCs/>
              </w:rPr>
              <w:t>The IAB-node is configurable with downstream and upstream number of hops per destination.</w:t>
            </w:r>
          </w:p>
        </w:tc>
      </w:tr>
    </w:tbl>
    <w:p w14:paraId="7C1A7A47" w14:textId="5A0B0D02" w:rsidR="007D73F1" w:rsidRDefault="00157298" w:rsidP="007D73F1">
      <w:r>
        <w:t xml:space="preserve">Compared with adding other timing information (such as </w:t>
      </w:r>
      <w:r w:rsidR="0077375C">
        <w:t xml:space="preserve">timestamp, remaining delay budget, </w:t>
      </w:r>
      <w:proofErr w:type="spellStart"/>
      <w:r w:rsidR="0077375C">
        <w:t>etc</w:t>
      </w:r>
      <w:proofErr w:type="spellEnd"/>
      <w:r>
        <w:t>)</w:t>
      </w:r>
      <w:r w:rsidR="0077375C">
        <w:t xml:space="preserve">, </w:t>
      </w:r>
      <w:r w:rsidR="00B824DE">
        <w:t xml:space="preserve">adding </w:t>
      </w:r>
      <w:r w:rsidR="008B3BFD">
        <w:t xml:space="preserve">the experienced </w:t>
      </w:r>
      <w:r w:rsidR="00B824DE">
        <w:t xml:space="preserve">hop count in the BAP header is much more straightforward. Upon receiving the </w:t>
      </w:r>
      <w:r w:rsidR="0031243F">
        <w:t xml:space="preserve">packets, the IAB-node can </w:t>
      </w:r>
      <w:r w:rsidR="000F2D72">
        <w:t xml:space="preserve">compare the experienced hop number in the BAP header of each packets and </w:t>
      </w:r>
      <w:r w:rsidR="0031243F">
        <w:t xml:space="preserve">directly </w:t>
      </w:r>
      <w:r w:rsidR="00686377">
        <w:t xml:space="preserve">select a </w:t>
      </w:r>
      <w:r w:rsidR="00901967">
        <w:t xml:space="preserve">new path </w:t>
      </w:r>
      <w:r w:rsidR="000F2D72">
        <w:t xml:space="preserve">according to </w:t>
      </w:r>
      <w:r w:rsidR="0031243F">
        <w:t>the configured number of hops per destination</w:t>
      </w:r>
      <w:r w:rsidR="000F2D72">
        <w:t xml:space="preserve"> if needed</w:t>
      </w:r>
      <w:r w:rsidR="0031243F">
        <w:t xml:space="preserve">. If one packet cannot meet its QoS </w:t>
      </w:r>
      <w:r w:rsidR="00F002FD">
        <w:t xml:space="preserve">or latency </w:t>
      </w:r>
      <w:r w:rsidR="0031243F">
        <w:t xml:space="preserve">requirement, </w:t>
      </w:r>
      <w:r w:rsidR="00F71FB9">
        <w:t xml:space="preserve">the </w:t>
      </w:r>
      <w:r w:rsidR="00EF344D">
        <w:t xml:space="preserve">IAB-node can reroute such packet to the other path with </w:t>
      </w:r>
      <w:proofErr w:type="gramStart"/>
      <w:r w:rsidR="00EF344D">
        <w:t>less</w:t>
      </w:r>
      <w:proofErr w:type="gramEnd"/>
      <w:r w:rsidR="00EF344D">
        <w:t xml:space="preserve"> number of hops to the destination. </w:t>
      </w:r>
    </w:p>
    <w:p w14:paraId="4A938877" w14:textId="34D3182F" w:rsidR="002859A5" w:rsidRPr="001A7C1F" w:rsidRDefault="002859A5" w:rsidP="002859A5">
      <w:pPr>
        <w:pStyle w:val="ListParagraph"/>
        <w:numPr>
          <w:ilvl w:val="0"/>
          <w:numId w:val="8"/>
        </w:numPr>
        <w:ind w:left="0" w:firstLine="0"/>
        <w:rPr>
          <w:rFonts w:eastAsia="Times New Roman"/>
          <w:b/>
          <w:bCs/>
        </w:rPr>
      </w:pPr>
      <w:bookmarkStart w:id="9" w:name="_Ref71586215"/>
      <w:r>
        <w:rPr>
          <w:rFonts w:ascii="Times New Roman" w:eastAsia="Times New Roman" w:hAnsi="Times New Roman"/>
          <w:b/>
          <w:bCs/>
          <w:sz w:val="20"/>
          <w:szCs w:val="20"/>
        </w:rPr>
        <w:t xml:space="preserve">Compared with adding timestamp and remaining delay budget, hop count in the BAP header is </w:t>
      </w:r>
      <w:r w:rsidR="00927B6A">
        <w:rPr>
          <w:rFonts w:ascii="Times New Roman" w:eastAsia="Times New Roman" w:hAnsi="Times New Roman"/>
          <w:b/>
          <w:bCs/>
          <w:sz w:val="20"/>
          <w:szCs w:val="20"/>
        </w:rPr>
        <w:t>more</w:t>
      </w:r>
      <w:r>
        <w:rPr>
          <w:rFonts w:ascii="Times New Roman" w:eastAsia="Times New Roman" w:hAnsi="Times New Roman"/>
          <w:b/>
          <w:bCs/>
          <w:sz w:val="20"/>
          <w:szCs w:val="20"/>
        </w:rPr>
        <w:t xml:space="preserve"> straightforward.</w:t>
      </w:r>
      <w:bookmarkEnd w:id="9"/>
    </w:p>
    <w:p w14:paraId="1ED1DE05" w14:textId="4C5D860F" w:rsidR="007D73F1" w:rsidRDefault="007D73F1" w:rsidP="00AE33CA">
      <w:pPr>
        <w:pStyle w:val="ListParagraph"/>
        <w:numPr>
          <w:ilvl w:val="0"/>
          <w:numId w:val="7"/>
        </w:numPr>
        <w:ind w:left="0" w:firstLine="0"/>
        <w:rPr>
          <w:rFonts w:ascii="Times New Roman" w:hAnsi="Times New Roman"/>
          <w:b/>
          <w:bCs/>
          <w:sz w:val="20"/>
          <w:szCs w:val="20"/>
          <w:lang w:val="en-GB"/>
        </w:rPr>
      </w:pPr>
      <w:bookmarkStart w:id="10" w:name="_Ref53497515"/>
      <w:r>
        <w:rPr>
          <w:rFonts w:ascii="Times New Roman" w:hAnsi="Times New Roman"/>
          <w:b/>
          <w:bCs/>
          <w:sz w:val="20"/>
          <w:szCs w:val="20"/>
          <w:lang w:val="en-GB"/>
        </w:rPr>
        <w:t xml:space="preserve">To solve IL-1, </w:t>
      </w:r>
      <w:r w:rsidR="00281215">
        <w:rPr>
          <w:rFonts w:ascii="Times New Roman" w:hAnsi="Times New Roman"/>
          <w:b/>
          <w:bCs/>
          <w:sz w:val="20"/>
          <w:szCs w:val="20"/>
          <w:lang w:val="en-GB"/>
        </w:rPr>
        <w:t xml:space="preserve">add </w:t>
      </w:r>
      <w:r w:rsidRPr="2CFB6FD1">
        <w:rPr>
          <w:rFonts w:ascii="Times New Roman" w:hAnsi="Times New Roman"/>
          <w:b/>
          <w:bCs/>
          <w:sz w:val="20"/>
          <w:szCs w:val="20"/>
          <w:lang w:val="en-GB"/>
        </w:rPr>
        <w:t xml:space="preserve">hop count of the routing path </w:t>
      </w:r>
      <w:r w:rsidR="00281215">
        <w:rPr>
          <w:rFonts w:ascii="Times New Roman" w:hAnsi="Times New Roman"/>
          <w:b/>
          <w:bCs/>
          <w:sz w:val="20"/>
          <w:szCs w:val="20"/>
          <w:lang w:val="en-GB"/>
        </w:rPr>
        <w:t xml:space="preserve">in the BAP header </w:t>
      </w:r>
      <w:r w:rsidRPr="2CFB6FD1">
        <w:rPr>
          <w:rFonts w:ascii="Times New Roman" w:hAnsi="Times New Roman"/>
          <w:b/>
          <w:bCs/>
          <w:sz w:val="20"/>
          <w:szCs w:val="20"/>
          <w:lang w:val="en-GB"/>
        </w:rPr>
        <w:t xml:space="preserve">to enable </w:t>
      </w:r>
      <w:r>
        <w:rPr>
          <w:rFonts w:ascii="Times New Roman" w:hAnsi="Times New Roman"/>
          <w:b/>
          <w:bCs/>
          <w:sz w:val="20"/>
          <w:szCs w:val="20"/>
          <w:lang w:val="en-GB"/>
        </w:rPr>
        <w:t>latency optimization for fairness scheduling</w:t>
      </w:r>
      <w:r w:rsidRPr="2CFB6FD1">
        <w:rPr>
          <w:rFonts w:ascii="Times New Roman" w:hAnsi="Times New Roman"/>
          <w:b/>
          <w:bCs/>
          <w:sz w:val="20"/>
          <w:szCs w:val="20"/>
          <w:lang w:val="en-GB"/>
        </w:rPr>
        <w:t>.</w:t>
      </w:r>
      <w:bookmarkEnd w:id="10"/>
    </w:p>
    <w:p w14:paraId="3AECD8E6" w14:textId="686CA4DA" w:rsidR="007E252E" w:rsidRPr="007E252E" w:rsidRDefault="007E252E" w:rsidP="007E252E">
      <w:pPr>
        <w:pStyle w:val="ListParagraph"/>
        <w:numPr>
          <w:ilvl w:val="0"/>
          <w:numId w:val="7"/>
        </w:numPr>
        <w:ind w:left="0" w:firstLine="0"/>
        <w:rPr>
          <w:rFonts w:ascii="Times New Roman" w:hAnsi="Times New Roman"/>
          <w:b/>
          <w:bCs/>
          <w:sz w:val="20"/>
          <w:szCs w:val="20"/>
          <w:lang w:val="en-GB"/>
        </w:rPr>
      </w:pPr>
      <w:bookmarkStart w:id="11" w:name="_Ref78999853"/>
      <w:r>
        <w:rPr>
          <w:rFonts w:ascii="Times New Roman" w:hAnsi="Times New Roman"/>
          <w:b/>
          <w:bCs/>
          <w:sz w:val="20"/>
          <w:szCs w:val="20"/>
          <w:lang w:val="en-GB"/>
        </w:rPr>
        <w:t xml:space="preserve">To solve IL-1, IAB-node is configured with downstream and upstream number of hops per destination </w:t>
      </w:r>
      <w:r w:rsidRPr="2CFB6FD1">
        <w:rPr>
          <w:rFonts w:ascii="Times New Roman" w:hAnsi="Times New Roman"/>
          <w:b/>
          <w:bCs/>
          <w:sz w:val="20"/>
          <w:szCs w:val="20"/>
          <w:lang w:val="en-GB"/>
        </w:rPr>
        <w:t xml:space="preserve">to enable </w:t>
      </w:r>
      <w:r>
        <w:rPr>
          <w:rFonts w:ascii="Times New Roman" w:hAnsi="Times New Roman"/>
          <w:b/>
          <w:bCs/>
          <w:sz w:val="20"/>
          <w:szCs w:val="20"/>
          <w:lang w:val="en-GB"/>
        </w:rPr>
        <w:t>latency optimization for fairness scheduling</w:t>
      </w:r>
      <w:r w:rsidRPr="2CFB6FD1">
        <w:rPr>
          <w:rFonts w:ascii="Times New Roman" w:hAnsi="Times New Roman"/>
          <w:b/>
          <w:bCs/>
          <w:sz w:val="20"/>
          <w:szCs w:val="20"/>
          <w:lang w:val="en-GB"/>
        </w:rPr>
        <w:t>.</w:t>
      </w:r>
      <w:bookmarkEnd w:id="11"/>
    </w:p>
    <w:p w14:paraId="779099C0" w14:textId="77777777" w:rsidR="004268BA" w:rsidRDefault="004268BA" w:rsidP="00FB3153">
      <w:pPr>
        <w:pStyle w:val="Heading2"/>
      </w:pPr>
      <w:r>
        <w:lastRenderedPageBreak/>
        <w:t>L2 Signaling Enhancement</w:t>
      </w:r>
    </w:p>
    <w:p w14:paraId="3D993E0A" w14:textId="58921731" w:rsidR="00FB3153" w:rsidRDefault="00FB3153" w:rsidP="00BA3075">
      <w:pPr>
        <w:pStyle w:val="Heading3"/>
      </w:pPr>
      <w:r>
        <w:t xml:space="preserve">Uplink </w:t>
      </w:r>
      <w:r w:rsidRPr="002D5159">
        <w:t xml:space="preserve">Hop-by-hop </w:t>
      </w:r>
      <w:r>
        <w:t>Flow control</w:t>
      </w:r>
    </w:p>
    <w:p w14:paraId="3AEDEC83" w14:textId="30D9E0B3" w:rsidR="00FB3153" w:rsidRDefault="00FB3153" w:rsidP="00FB3153">
      <w:r>
        <w:t xml:space="preserve">As raised in </w:t>
      </w:r>
      <w:r>
        <w:fldChar w:fldCharType="begin"/>
      </w:r>
      <w:r>
        <w:instrText xml:space="preserve"> REF _Ref70842791 \n \h </w:instrText>
      </w:r>
      <w:r>
        <w:fldChar w:fldCharType="separate"/>
      </w:r>
      <w:r>
        <w:t>[1]</w:t>
      </w:r>
      <w:r>
        <w:fldChar w:fldCharType="end"/>
      </w:r>
      <w:r w:rsidRPr="08B17480">
        <w:rPr>
          <w:lang w:eastAsia="zh-CN"/>
        </w:rPr>
        <w:t>,</w:t>
      </w:r>
      <w:r>
        <w:t xml:space="preserve"> upstream traffic has the same congestion issues as downstream traffic. In fact, for upstream traffic, the congestion is likely to occur closer to the donor due the aggregation of data from large numbers of UEs. Given that the congestion occurrence for upstream traffic is f</w:t>
      </w:r>
      <w:r w:rsidR="550BBDE4">
        <w:t>u</w:t>
      </w:r>
      <w:r>
        <w:t xml:space="preserve">rther from the location of injection of data (the UE &amp; access IAB node), the congestion issue could be more serious. However, for upstream traffic, no flow control procedures were specified in Release 16. </w:t>
      </w:r>
    </w:p>
    <w:p w14:paraId="54972020" w14:textId="77777777" w:rsidR="00FB3153" w:rsidRDefault="00FB3153" w:rsidP="00FB3153">
      <w:r>
        <w:t xml:space="preserve">The commonly held view during IAB discussions in Release 16 was that the “backpressure” mechanism is adequate for uplink flow control. The backpressure mechanism consists of the congested node reducing/stopping uplink resource allocation to its child nodes. With this mechanism, information about the congestion is not carried to the source node; it is essentially a one-hop flow control mechanism. We compare the backpressure method to hop-by-hop flow control, where flow control feedback information is generated by the congested node and transmitted to its child nodes, which in turn relay the feedback information. </w:t>
      </w:r>
    </w:p>
    <w:p w14:paraId="44B850DA" w14:textId="77777777" w:rsidR="00FB3153" w:rsidRDefault="00FB3153" w:rsidP="00FB3153">
      <w:r>
        <w:t xml:space="preserve">We consider a route between a source node and a destination node as shown and </w:t>
      </w:r>
      <w:proofErr w:type="spellStart"/>
      <w:r>
        <w:t>analyse</w:t>
      </w:r>
      <w:proofErr w:type="spellEnd"/>
      <w:r>
        <w:t xml:space="preserve"> the impact of congestion on the route. The route is selected from a larger network of IAB nodes and UEs in which the IAB nodes and UEs are dropped randomly. In the context of uplink flow control the source node is the UE and the destination node is the IAB donor.</w:t>
      </w:r>
    </w:p>
    <w:p w14:paraId="6E02A43E" w14:textId="77777777" w:rsidR="00FB3153" w:rsidRDefault="00FB3153" w:rsidP="00FB3153">
      <w:pPr>
        <w:keepNext/>
        <w:jc w:val="center"/>
      </w:pPr>
      <w:r>
        <w:object w:dxaOrig="15504" w:dyaOrig="1344" w14:anchorId="3C0C43FE">
          <v:shape id="_x0000_i1027" type="#_x0000_t75" style="width:467.5pt;height:41pt" o:ole="">
            <v:imagedata r:id="rId17" o:title=""/>
          </v:shape>
          <o:OLEObject Type="Embed" ProgID="Visio.Drawing.15" ShapeID="_x0000_i1027" DrawAspect="Content" ObjectID="_1689761560" r:id="rId18"/>
        </w:object>
      </w:r>
    </w:p>
    <w:p w14:paraId="7663D1AF" w14:textId="77777777" w:rsidR="00FB3153" w:rsidRDefault="00FB3153" w:rsidP="00FB3153">
      <w:pPr>
        <w:pStyle w:val="Caption"/>
        <w:jc w:val="center"/>
      </w:pPr>
      <w:bookmarkStart w:id="12" w:name="_Ref54274598"/>
      <w:r>
        <w:t xml:space="preserve">Figure </w:t>
      </w:r>
      <w:r>
        <w:fldChar w:fldCharType="begin"/>
      </w:r>
      <w:r>
        <w:instrText>SEQ Figure \* ARABIC</w:instrText>
      </w:r>
      <w:r>
        <w:fldChar w:fldCharType="separate"/>
      </w:r>
      <w:r>
        <w:rPr>
          <w:noProof/>
        </w:rPr>
        <w:t>3</w:t>
      </w:r>
      <w:r>
        <w:fldChar w:fldCharType="end"/>
      </w:r>
      <w:bookmarkEnd w:id="12"/>
    </w:p>
    <w:p w14:paraId="6E702DD1" w14:textId="77777777" w:rsidR="00FB3153" w:rsidRDefault="00FB3153" w:rsidP="00FB3153">
      <w:r>
        <w:t xml:space="preserve">Given that the goal is to model congestion and flow control, the physical layer is not explicitly modelled. </w:t>
      </w:r>
      <w:proofErr w:type="gramStart"/>
      <w:r>
        <w:t>Instead</w:t>
      </w:r>
      <w:proofErr w:type="gramEnd"/>
      <w:r>
        <w:t xml:space="preserve"> the SINRs on the links (which are assumed to not vary) are translated to data rates. </w:t>
      </w:r>
    </w:p>
    <w:p w14:paraId="609AA5E2" w14:textId="77777777" w:rsidR="00FB3153" w:rsidRDefault="00FB3153" w:rsidP="00FB3153">
      <w:r>
        <w:t xml:space="preserve">Packets arrive at the source, each packet of size 20 kbits. The packets are segmented into 5 subpackets for transmission (each subpacket of 4 kbits). Packets arrive at the source node according to a </w:t>
      </w:r>
      <w:proofErr w:type="spellStart"/>
      <w:r>
        <w:t>poisson</w:t>
      </w:r>
      <w:proofErr w:type="spellEnd"/>
      <w:r>
        <w:t xml:space="preserve"> process with arrival rate of 800 packets/sec.</w:t>
      </w:r>
    </w:p>
    <w:p w14:paraId="27DAABCA" w14:textId="77777777" w:rsidR="00FB3153" w:rsidRDefault="00FB3153" w:rsidP="00FB3153">
      <w:r>
        <w:t>Congestion is simulated at node 3, resulting from a drop in the link quality on the node3-destination node link</w:t>
      </w:r>
      <w:r w:rsidRPr="00C06EF0">
        <w:t>. The data rates when congestion occurs along the route are 16 Mbps, 12 Mbps, 8 Mbps and 4 Mbps for the 4 successive links</w:t>
      </w:r>
      <w:r>
        <w:t xml:space="preserve"> from left to right in </w:t>
      </w:r>
      <w:r>
        <w:fldChar w:fldCharType="begin"/>
      </w:r>
      <w:r>
        <w:instrText xml:space="preserve"> REF _Ref54274598 \h </w:instrText>
      </w:r>
      <w:r>
        <w:fldChar w:fldCharType="separate"/>
      </w:r>
      <w:r>
        <w:t xml:space="preserve">Figure </w:t>
      </w:r>
      <w:r>
        <w:rPr>
          <w:noProof/>
        </w:rPr>
        <w:t>3</w:t>
      </w:r>
      <w:r>
        <w:fldChar w:fldCharType="end"/>
      </w:r>
      <w:r>
        <w:t xml:space="preserve">. Each IAB node is assumed to have a buffer of </w:t>
      </w:r>
      <w:r w:rsidRPr="00C06EF0">
        <w:t>160 kbits</w:t>
      </w:r>
      <w:r>
        <w:t xml:space="preserve"> for the flow being considered and the donor has an infinite buffer. A node initiates flow control related actions when the buffer </w:t>
      </w:r>
      <w:r w:rsidRPr="00C06EF0">
        <w:t>is 80% full</w:t>
      </w:r>
      <w:r>
        <w:t xml:space="preserve">. </w:t>
      </w:r>
    </w:p>
    <w:p w14:paraId="0AFD3250" w14:textId="77777777" w:rsidR="00FB3153" w:rsidRDefault="00FB3153" w:rsidP="00FB3153">
      <w:r>
        <w:t xml:space="preserve">Flow control actions consist of the node transmitting a flow control indication to the source node and/or the immediate prior node in the chain. When an IAB node or the source node receive the flow control indication, it stops transmitting data corresponding to the flow for a </w:t>
      </w:r>
      <w:r>
        <w:rPr>
          <w:i/>
        </w:rPr>
        <w:t xml:space="preserve">wait time </w:t>
      </w:r>
      <w:r>
        <w:t>(to allow the overloaded buffer to drain)</w:t>
      </w:r>
      <w:r>
        <w:rPr>
          <w:i/>
        </w:rPr>
        <w:t xml:space="preserve">. </w:t>
      </w:r>
      <w:r>
        <w:t xml:space="preserve">After the expiration of the wait time, the node resumes transmission of data. The flow control indication is subject to a 3 TTI delay at each node for both end-to-end and hop-by-hop flow control indications. That is, if a flow control indication is received in TTI n, it is transmitted to the next node in TTI n+3. For purposes of computation of data rates, goodput etc., a TTI is assumed to be 1 </w:t>
      </w:r>
      <w:proofErr w:type="spellStart"/>
      <w:r>
        <w:t>ms.</w:t>
      </w:r>
      <w:proofErr w:type="spellEnd"/>
    </w:p>
    <w:p w14:paraId="2E7FD6F1" w14:textId="77777777" w:rsidR="00FB3153" w:rsidRDefault="00FB3153" w:rsidP="00FB3153">
      <w:r>
        <w:t xml:space="preserve">We provide below simulation results comparing the flow control mechanisms that can be considered. </w:t>
      </w:r>
    </w:p>
    <w:p w14:paraId="7965B802" w14:textId="77777777" w:rsidR="00FB3153" w:rsidRDefault="00FB3153" w:rsidP="00FB3153">
      <w:pPr>
        <w:keepNext/>
      </w:pPr>
      <w:r>
        <w:rPr>
          <w:noProof/>
        </w:rPr>
        <w:lastRenderedPageBreak/>
        <w:drawing>
          <wp:inline distT="0" distB="0" distL="0" distR="0" wp14:anchorId="08F9C884" wp14:editId="718E1BC9">
            <wp:extent cx="2698750" cy="1830621"/>
            <wp:effectExtent l="0" t="0" r="635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9">
                      <a:extLst>
                        <a:ext uri="{28A0092B-C50C-407E-A947-70E740481C1C}">
                          <a14:useLocalDpi xmlns:a14="http://schemas.microsoft.com/office/drawing/2010/main" val="0"/>
                        </a:ext>
                      </a:extLst>
                    </a:blip>
                    <a:stretch>
                      <a:fillRect/>
                    </a:stretch>
                  </pic:blipFill>
                  <pic:spPr>
                    <a:xfrm>
                      <a:off x="0" y="0"/>
                      <a:ext cx="2698750" cy="1830621"/>
                    </a:xfrm>
                    <a:prstGeom prst="rect">
                      <a:avLst/>
                    </a:prstGeom>
                  </pic:spPr>
                </pic:pic>
              </a:graphicData>
            </a:graphic>
          </wp:inline>
        </w:drawing>
      </w:r>
      <w:r>
        <w:rPr>
          <w:noProof/>
        </w:rPr>
        <w:drawing>
          <wp:inline distT="0" distB="0" distL="0" distR="0" wp14:anchorId="73CCD1D2" wp14:editId="139A6365">
            <wp:extent cx="2717190" cy="1830070"/>
            <wp:effectExtent l="0" t="0" r="6985"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0">
                      <a:extLst>
                        <a:ext uri="{28A0092B-C50C-407E-A947-70E740481C1C}">
                          <a14:useLocalDpi xmlns:a14="http://schemas.microsoft.com/office/drawing/2010/main" val="0"/>
                        </a:ext>
                      </a:extLst>
                    </a:blip>
                    <a:stretch>
                      <a:fillRect/>
                    </a:stretch>
                  </pic:blipFill>
                  <pic:spPr>
                    <a:xfrm>
                      <a:off x="0" y="0"/>
                      <a:ext cx="2717190" cy="1830070"/>
                    </a:xfrm>
                    <a:prstGeom prst="rect">
                      <a:avLst/>
                    </a:prstGeom>
                  </pic:spPr>
                </pic:pic>
              </a:graphicData>
            </a:graphic>
          </wp:inline>
        </w:drawing>
      </w:r>
    </w:p>
    <w:p w14:paraId="4E512A79" w14:textId="77777777" w:rsidR="00FB3153" w:rsidRDefault="00FB3153" w:rsidP="00FB3153">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rPr>
          <w:lang w:val="en-US"/>
        </w:rPr>
        <w:t>. UL hop-by-hop flow control simulation result</w:t>
      </w:r>
    </w:p>
    <w:p w14:paraId="1AD746A4" w14:textId="77777777" w:rsidR="00FB3153" w:rsidRDefault="00FB3153" w:rsidP="00FB3153">
      <w:r>
        <w:t>Based on the above, it is beneficial to introduce hop-by-hop flow control for upstream traffic. This can mirror the BAP layer flow control feedback that has been introduced for downstream traffic.</w:t>
      </w:r>
    </w:p>
    <w:p w14:paraId="4FBDBD85" w14:textId="77777777" w:rsidR="00FB3153" w:rsidRPr="001A7C1F" w:rsidRDefault="00FB3153" w:rsidP="00FB3153">
      <w:pPr>
        <w:pStyle w:val="ListParagraph"/>
        <w:numPr>
          <w:ilvl w:val="0"/>
          <w:numId w:val="7"/>
        </w:numPr>
        <w:ind w:left="0" w:firstLine="0"/>
        <w:rPr>
          <w:b/>
          <w:bCs/>
        </w:rPr>
      </w:pPr>
      <w:bookmarkStart w:id="13" w:name="_Ref53497629"/>
      <w:r w:rsidRPr="2CFB6FD1">
        <w:rPr>
          <w:rFonts w:ascii="Times New Roman" w:hAnsi="Times New Roman"/>
          <w:b/>
          <w:bCs/>
          <w:sz w:val="20"/>
          <w:szCs w:val="20"/>
        </w:rPr>
        <w:t>Hop-by-hop flow control feedback for upstream traffic is introduced.</w:t>
      </w:r>
      <w:bookmarkEnd w:id="13"/>
    </w:p>
    <w:p w14:paraId="3D1C7D25" w14:textId="77777777" w:rsidR="00FB3153" w:rsidRPr="00B50866" w:rsidRDefault="00FB3153" w:rsidP="00FB3153">
      <w:pPr>
        <w:pStyle w:val="ListParagraph"/>
        <w:numPr>
          <w:ilvl w:val="0"/>
          <w:numId w:val="7"/>
        </w:numPr>
        <w:ind w:left="0" w:firstLine="0"/>
        <w:rPr>
          <w:b/>
          <w:bCs/>
        </w:rPr>
      </w:pPr>
      <w:bookmarkStart w:id="14" w:name="_Ref53497632"/>
      <w:r w:rsidRPr="2CFB6FD1">
        <w:rPr>
          <w:rFonts w:ascii="Times New Roman" w:hAnsi="Times New Roman"/>
          <w:b/>
          <w:bCs/>
          <w:sz w:val="20"/>
          <w:szCs w:val="20"/>
        </w:rPr>
        <w:t>Hop-by-hop flow control feedback for upstream can be within the BAP layer and can be based on the design for downstream flow control feedback.</w:t>
      </w:r>
      <w:bookmarkEnd w:id="14"/>
    </w:p>
    <w:p w14:paraId="562EED4A" w14:textId="7FBCBB86" w:rsidR="001C3A79" w:rsidRDefault="00983BAE" w:rsidP="00E63354">
      <w:pPr>
        <w:pStyle w:val="Heading2"/>
        <w:ind w:left="0" w:firstLine="0"/>
      </w:pPr>
      <w:r>
        <w:t xml:space="preserve">L2 Extensions: </w:t>
      </w:r>
      <w:r w:rsidR="001C3A79">
        <w:t>Pre-emptive BSR Buffer Size Calculation</w:t>
      </w:r>
    </w:p>
    <w:p w14:paraId="739E8EEE" w14:textId="00865C00" w:rsidR="0044589B" w:rsidRDefault="0044589B" w:rsidP="00C819C9">
      <w:pPr>
        <w:rPr>
          <w:lang w:val="en-GB"/>
        </w:rPr>
      </w:pPr>
      <w:bookmarkStart w:id="15" w:name="_Hlk67842976"/>
      <w:r>
        <w:rPr>
          <w:lang w:val="en-GB"/>
        </w:rPr>
        <w:t xml:space="preserve">As agreed in RAN2 #113bis-e meeting, </w:t>
      </w:r>
      <w:r w:rsidR="00D63BB7">
        <w:rPr>
          <w:lang w:val="en-GB"/>
        </w:rPr>
        <w:t xml:space="preserve">enhancements to BSR </w:t>
      </w:r>
      <w:proofErr w:type="gramStart"/>
      <w:r w:rsidR="00D63BB7">
        <w:rPr>
          <w:lang w:val="en-GB"/>
        </w:rPr>
        <w:t>is</w:t>
      </w:r>
      <w:proofErr w:type="gramEnd"/>
      <w:r w:rsidR="00D63BB7">
        <w:rPr>
          <w:lang w:val="en-GB"/>
        </w:rPr>
        <w:t xml:space="preserve"> FFS. In this section, we mainly discuss </w:t>
      </w:r>
      <w:r w:rsidR="006C66A0">
        <w:rPr>
          <w:lang w:val="en-GB"/>
        </w:rPr>
        <w:t>pre-emptive BSR buffer size calculation and corresponding specification impact.</w:t>
      </w:r>
    </w:p>
    <w:tbl>
      <w:tblPr>
        <w:tblStyle w:val="TableGrid"/>
        <w:tblW w:w="0" w:type="auto"/>
        <w:tblLook w:val="04A0" w:firstRow="1" w:lastRow="0" w:firstColumn="1" w:lastColumn="0" w:noHBand="0" w:noVBand="1"/>
      </w:tblPr>
      <w:tblGrid>
        <w:gridCol w:w="9350"/>
      </w:tblGrid>
      <w:tr w:rsidR="00D63BB7" w14:paraId="10612160" w14:textId="77777777" w:rsidTr="00D63BB7">
        <w:tc>
          <w:tcPr>
            <w:tcW w:w="9350" w:type="dxa"/>
          </w:tcPr>
          <w:p w14:paraId="0E9075D4" w14:textId="5C75764C" w:rsidR="006C66A0" w:rsidRDefault="006C66A0" w:rsidP="006C66A0">
            <w:pPr>
              <w:pStyle w:val="Agreement"/>
              <w:numPr>
                <w:ilvl w:val="0"/>
                <w:numId w:val="0"/>
              </w:numPr>
              <w:rPr>
                <w:b/>
                <w:bCs/>
                <w:lang w:val="en-GB"/>
              </w:rPr>
            </w:pPr>
            <w:r>
              <w:rPr>
                <w:b/>
                <w:bCs/>
                <w:lang w:val="en-GB"/>
              </w:rPr>
              <w:t>RAN2 #113bis-e Agreement:</w:t>
            </w:r>
          </w:p>
          <w:p w14:paraId="548F168E" w14:textId="3D841117" w:rsidR="00D63BB7" w:rsidRPr="00D63BB7" w:rsidRDefault="00D63BB7" w:rsidP="00D63BB7">
            <w:pPr>
              <w:pStyle w:val="Agreement"/>
              <w:rPr>
                <w:b/>
                <w:bCs/>
                <w:lang w:val="en-GB"/>
              </w:rPr>
            </w:pPr>
            <w:r w:rsidRPr="00D63BB7">
              <w:rPr>
                <w:b/>
                <w:bCs/>
                <w:lang w:val="en-GB"/>
              </w:rPr>
              <w:t>LCG range to be extended for IAB-MT. Size of LCG and enhancements to BSR are FFS</w:t>
            </w:r>
          </w:p>
        </w:tc>
      </w:tr>
    </w:tbl>
    <w:bookmarkEnd w:id="15"/>
    <w:p w14:paraId="6BD0FAAF" w14:textId="6159933E" w:rsidR="001C3A79" w:rsidRDefault="001C3A79" w:rsidP="001C3A79">
      <w:r>
        <w:t>Unlike the conventional BSR described above, the pre-emptive BSR is not triggered or transmitted based on availability of buffered data (provided by the RLC layer). Instead</w:t>
      </w:r>
      <w:r w:rsidR="100E5A18">
        <w:t>,</w:t>
      </w:r>
      <w:r>
        <w:t xml:space="preserve"> it is triggered based on the expectation that data will be available in (the near) future. This allows the uplink transmission resource to be available when the actual data arrives from a child node and is processed by the DU and the higher layers of the MT. The pre-emptive BSR is triggered at the IAB MT based on one of the following:</w:t>
      </w:r>
    </w:p>
    <w:p w14:paraId="4B2DF200" w14:textId="77777777" w:rsidR="001C3A79" w:rsidRPr="00E63354" w:rsidRDefault="001C3A79" w:rsidP="00AE33CA">
      <w:pPr>
        <w:pStyle w:val="ListParagraph"/>
        <w:numPr>
          <w:ilvl w:val="0"/>
          <w:numId w:val="9"/>
        </w:numPr>
        <w:spacing w:after="160" w:line="259" w:lineRule="auto"/>
        <w:jc w:val="both"/>
        <w:rPr>
          <w:rFonts w:ascii="Times New Roman" w:hAnsi="Times New Roman"/>
          <w:sz w:val="20"/>
          <w:szCs w:val="20"/>
        </w:rPr>
      </w:pPr>
      <w:r w:rsidRPr="00E63354">
        <w:rPr>
          <w:rFonts w:ascii="Times New Roman" w:hAnsi="Times New Roman"/>
          <w:sz w:val="20"/>
          <w:szCs w:val="20"/>
        </w:rPr>
        <w:t>The IAB DU receives a BSR from a child IAB node or a UE</w:t>
      </w:r>
    </w:p>
    <w:p w14:paraId="3CA9CF87" w14:textId="77777777" w:rsidR="001C3A79" w:rsidRPr="00E63354" w:rsidRDefault="001C3A79" w:rsidP="00AE33CA">
      <w:pPr>
        <w:pStyle w:val="ListParagraph"/>
        <w:numPr>
          <w:ilvl w:val="0"/>
          <w:numId w:val="9"/>
        </w:numPr>
        <w:spacing w:after="160" w:line="259" w:lineRule="auto"/>
        <w:jc w:val="both"/>
        <w:rPr>
          <w:rFonts w:ascii="Times New Roman" w:hAnsi="Times New Roman"/>
          <w:sz w:val="20"/>
          <w:szCs w:val="20"/>
        </w:rPr>
      </w:pPr>
      <w:r w:rsidRPr="00E63354">
        <w:rPr>
          <w:rFonts w:ascii="Times New Roman" w:hAnsi="Times New Roman"/>
          <w:sz w:val="20"/>
          <w:szCs w:val="20"/>
        </w:rPr>
        <w:t>The IAB DU allocates an uplink transmission resource to a child IAB node or a UE.</w:t>
      </w:r>
    </w:p>
    <w:p w14:paraId="0F1D3923" w14:textId="51725E1E" w:rsidR="001C3A79" w:rsidRDefault="001C3A79" w:rsidP="00C819C9">
      <w:r>
        <w:t>Hence, pre-emptive BSR indicates the expected volume of data.</w:t>
      </w:r>
      <w:r w:rsidR="00EC7DDA">
        <w:t xml:space="preserve"> </w:t>
      </w:r>
    </w:p>
    <w:p w14:paraId="0A446CFB" w14:textId="48ABA979" w:rsidR="00EC7DDA" w:rsidRDefault="00EC7DDA" w:rsidP="00EC7DDA">
      <w:proofErr w:type="gramStart"/>
      <w:r>
        <w:t>Subsequent to</w:t>
      </w:r>
      <w:proofErr w:type="gramEnd"/>
      <w:r>
        <w:t xml:space="preserve"> transmission of the pre-emptive BSR at IAB node, data arrival at the MT of this IAB node can trigger a conventional BSR (according to standard UE procedures). Note however, that some or </w:t>
      </w:r>
      <w:proofErr w:type="gramStart"/>
      <w:r>
        <w:t>all of</w:t>
      </w:r>
      <w:proofErr w:type="gramEnd"/>
      <w:r>
        <w:t xml:space="preserve"> the data that arrives at the MT of IAB node could be represented in the pre-emptive BSR. That is, the DU of IAB node, prior to reception of the data, may have:</w:t>
      </w:r>
    </w:p>
    <w:p w14:paraId="7E157D72" w14:textId="77777777" w:rsidR="00EC7DDA" w:rsidRPr="00E63354" w:rsidRDefault="00EC7DDA" w:rsidP="00AE33CA">
      <w:pPr>
        <w:pStyle w:val="ListParagraph"/>
        <w:numPr>
          <w:ilvl w:val="0"/>
          <w:numId w:val="9"/>
        </w:numPr>
        <w:spacing w:after="160" w:line="259" w:lineRule="auto"/>
        <w:jc w:val="both"/>
        <w:rPr>
          <w:rFonts w:ascii="Times New Roman" w:hAnsi="Times New Roman"/>
          <w:sz w:val="20"/>
          <w:szCs w:val="20"/>
        </w:rPr>
      </w:pPr>
      <w:r w:rsidRPr="00E63354">
        <w:rPr>
          <w:rFonts w:ascii="Times New Roman" w:hAnsi="Times New Roman"/>
          <w:sz w:val="20"/>
          <w:szCs w:val="20"/>
        </w:rPr>
        <w:t>Received a BSR from the UE waiting to transmit the new data, resulting in triggering of a pre-emptive BSR with the data volume indicated in the BSR</w:t>
      </w:r>
    </w:p>
    <w:p w14:paraId="197A7B52" w14:textId="77777777" w:rsidR="00EC7DDA" w:rsidRPr="00E63354" w:rsidRDefault="00EC7DDA" w:rsidP="00AE33CA">
      <w:pPr>
        <w:pStyle w:val="ListParagraph"/>
        <w:numPr>
          <w:ilvl w:val="0"/>
          <w:numId w:val="9"/>
        </w:numPr>
        <w:spacing w:after="160" w:line="259" w:lineRule="auto"/>
        <w:jc w:val="both"/>
        <w:rPr>
          <w:rFonts w:ascii="Times New Roman" w:hAnsi="Times New Roman"/>
          <w:sz w:val="20"/>
          <w:szCs w:val="20"/>
        </w:rPr>
      </w:pPr>
      <w:r w:rsidRPr="00E63354">
        <w:rPr>
          <w:rFonts w:ascii="Times New Roman" w:hAnsi="Times New Roman"/>
          <w:sz w:val="20"/>
          <w:szCs w:val="20"/>
        </w:rPr>
        <w:t>Provided an uplink grant to the UE for transmission of the new data, resulting in triggering of pre-emptive BSR with the data volume corresponding to the resource allocation in the uplink grant.</w:t>
      </w:r>
    </w:p>
    <w:p w14:paraId="0AD9CAD7" w14:textId="0E10ABCC" w:rsidR="00EC7DDA" w:rsidRDefault="00EC7DDA" w:rsidP="00EC7DDA">
      <w:r>
        <w:t>Consequently, resource allocation to the MT of IAB node for transmission of the new data</w:t>
      </w:r>
      <w:r w:rsidR="0040665A">
        <w:t xml:space="preserve"> according pre-emptive BSR </w:t>
      </w:r>
      <w:r w:rsidR="00F773F0">
        <w:t xml:space="preserve">triggered by both </w:t>
      </w:r>
      <w:r w:rsidR="00242620">
        <w:t xml:space="preserve">received BSR and UL grant </w:t>
      </w:r>
      <w:r w:rsidR="0040665A">
        <w:t xml:space="preserve">may exceed the actual data volume </w:t>
      </w:r>
      <w:r w:rsidR="003534DF">
        <w:t>required by its child node</w:t>
      </w:r>
      <w:r>
        <w:t>. This can lead to network wide inefficiency and unfairness.</w:t>
      </w:r>
    </w:p>
    <w:p w14:paraId="4768B1D6" w14:textId="54FE59B2" w:rsidR="00EC7DDA" w:rsidRPr="00E63354" w:rsidRDefault="00EC7DDA" w:rsidP="00AE33CA">
      <w:pPr>
        <w:pStyle w:val="ListParagraph"/>
        <w:numPr>
          <w:ilvl w:val="0"/>
          <w:numId w:val="8"/>
        </w:numPr>
        <w:ind w:left="0" w:firstLine="0"/>
        <w:rPr>
          <w:rFonts w:eastAsia="Times New Roman"/>
          <w:b/>
          <w:bCs/>
        </w:rPr>
      </w:pPr>
      <w:bookmarkStart w:id="16" w:name="_Ref61594057"/>
      <w:r>
        <w:rPr>
          <w:rFonts w:ascii="Times New Roman" w:eastAsia="Times New Roman" w:hAnsi="Times New Roman"/>
          <w:b/>
          <w:bCs/>
          <w:sz w:val="20"/>
          <w:szCs w:val="20"/>
        </w:rPr>
        <w:lastRenderedPageBreak/>
        <w:t xml:space="preserve">Inaccurate buffer size report from pre-emptive BSR </w:t>
      </w:r>
      <w:r w:rsidR="0055420C">
        <w:rPr>
          <w:rFonts w:ascii="Times New Roman" w:eastAsia="Times New Roman" w:hAnsi="Times New Roman"/>
          <w:b/>
          <w:bCs/>
          <w:sz w:val="20"/>
          <w:szCs w:val="20"/>
        </w:rPr>
        <w:t xml:space="preserve">triggered by received BSR and UL grant </w:t>
      </w:r>
      <w:r>
        <w:rPr>
          <w:rFonts w:ascii="Times New Roman" w:eastAsia="Times New Roman" w:hAnsi="Times New Roman"/>
          <w:b/>
          <w:bCs/>
          <w:sz w:val="20"/>
          <w:szCs w:val="20"/>
        </w:rPr>
        <w:t xml:space="preserve">leads to </w:t>
      </w:r>
      <w:r w:rsidRPr="45459165">
        <w:rPr>
          <w:rFonts w:ascii="Times New Roman" w:eastAsia="Times New Roman" w:hAnsi="Times New Roman"/>
          <w:b/>
          <w:bCs/>
          <w:sz w:val="20"/>
          <w:szCs w:val="20"/>
        </w:rPr>
        <w:t>excess</w:t>
      </w:r>
      <w:r>
        <w:rPr>
          <w:rFonts w:ascii="Times New Roman" w:eastAsia="Times New Roman" w:hAnsi="Times New Roman"/>
          <w:b/>
          <w:bCs/>
          <w:sz w:val="20"/>
          <w:szCs w:val="20"/>
        </w:rPr>
        <w:t xml:space="preserve"> resource allocation to the MT of IAB node.</w:t>
      </w:r>
      <w:bookmarkEnd w:id="16"/>
    </w:p>
    <w:p w14:paraId="6047499C" w14:textId="5F19E9C4" w:rsidR="00EC7DDA" w:rsidRDefault="00EC7DDA" w:rsidP="00EC7DDA">
      <w:r>
        <w:t>The following solutions can be used to overcome the issue described above.</w:t>
      </w:r>
    </w:p>
    <w:p w14:paraId="2B918FBF" w14:textId="3E6EC3FE" w:rsidR="00EC7DDA" w:rsidRPr="00DB5198" w:rsidRDefault="00EC7DDA" w:rsidP="00066055">
      <w:pPr>
        <w:pStyle w:val="MiniHeading"/>
      </w:pPr>
      <w:r w:rsidRPr="00E63354">
        <w:rPr>
          <w:b/>
          <w:bCs/>
        </w:rPr>
        <w:t>Solution 1</w:t>
      </w:r>
      <w:r w:rsidRPr="00DB5198">
        <w:t>: Suppress BSRs for an LCG for some time after pre-emptive BSR is reported</w:t>
      </w:r>
    </w:p>
    <w:p w14:paraId="55F2C6A7" w14:textId="13034D32" w:rsidR="00EC7DDA" w:rsidRDefault="00EC7DDA" w:rsidP="00EC7DDA">
      <w:r>
        <w:t>If the new data corresponds to a pre-emptive BSR that has been transmitted</w:t>
      </w:r>
      <w:r w:rsidR="00564B4F">
        <w:rPr>
          <w:rFonts w:hint="eastAsia"/>
          <w:lang w:eastAsia="zh-CN"/>
        </w:rPr>
        <w:t>,</w:t>
      </w:r>
      <w:r w:rsidR="00564B4F">
        <w:rPr>
          <w:lang w:eastAsia="zh-CN"/>
        </w:rPr>
        <w:t xml:space="preserve"> t</w:t>
      </w:r>
      <w:r>
        <w:t xml:space="preserve">he IAB MT starts a timer with a configured duration when it triggers a pre-emptive BSR. </w:t>
      </w:r>
    </w:p>
    <w:p w14:paraId="5DBBCA16" w14:textId="77777777" w:rsidR="00EC7DDA" w:rsidRDefault="00EC7DDA" w:rsidP="00EC7DDA">
      <w:r>
        <w:t>If new data arrives at the IAB MT when the timer is running:</w:t>
      </w:r>
    </w:p>
    <w:p w14:paraId="08448A88" w14:textId="77777777" w:rsidR="00EC7DDA" w:rsidRPr="00E63354" w:rsidRDefault="00EC7DDA" w:rsidP="00AE33CA">
      <w:pPr>
        <w:pStyle w:val="ListParagraph"/>
        <w:numPr>
          <w:ilvl w:val="0"/>
          <w:numId w:val="9"/>
        </w:numPr>
        <w:spacing w:after="160" w:line="259" w:lineRule="auto"/>
        <w:jc w:val="both"/>
        <w:rPr>
          <w:rFonts w:ascii="Times New Roman" w:hAnsi="Times New Roman"/>
          <w:sz w:val="20"/>
          <w:szCs w:val="20"/>
        </w:rPr>
      </w:pPr>
      <w:r w:rsidRPr="00E63354">
        <w:rPr>
          <w:rFonts w:ascii="Times New Roman" w:hAnsi="Times New Roman"/>
          <w:sz w:val="20"/>
          <w:szCs w:val="20"/>
        </w:rPr>
        <w:t xml:space="preserve">It determines the logical channel of the data and the corresponding LCG </w:t>
      </w:r>
    </w:p>
    <w:p w14:paraId="48834365" w14:textId="77777777" w:rsidR="00EC7DDA" w:rsidRPr="00E63354" w:rsidRDefault="00EC7DDA" w:rsidP="00AE33CA">
      <w:pPr>
        <w:pStyle w:val="ListParagraph"/>
        <w:numPr>
          <w:ilvl w:val="0"/>
          <w:numId w:val="9"/>
        </w:numPr>
        <w:spacing w:after="160" w:line="259" w:lineRule="auto"/>
        <w:jc w:val="both"/>
        <w:rPr>
          <w:rFonts w:ascii="Times New Roman" w:hAnsi="Times New Roman"/>
          <w:sz w:val="20"/>
          <w:szCs w:val="20"/>
        </w:rPr>
      </w:pPr>
      <w:r w:rsidRPr="00E63354">
        <w:rPr>
          <w:rFonts w:ascii="Times New Roman" w:hAnsi="Times New Roman"/>
          <w:sz w:val="20"/>
          <w:szCs w:val="20"/>
        </w:rPr>
        <w:t>If the LCG was included in the pre-emptive BSR, the data does not trigger a BSR.</w:t>
      </w:r>
    </w:p>
    <w:p w14:paraId="6EBD582C" w14:textId="1DC7FC6F" w:rsidR="00EC7DDA" w:rsidRDefault="00EC7DDA" w:rsidP="00EC7DDA">
      <w:r>
        <w:t>If new data arrives at the MT after the timer expires, the data may trigger a BSR.</w:t>
      </w:r>
    </w:p>
    <w:p w14:paraId="1C2BE28D" w14:textId="7A63F0E1" w:rsidR="007C5E29" w:rsidRDefault="007C5E29" w:rsidP="00EC7DDA">
      <w:pPr>
        <w:rPr>
          <w:lang w:eastAsia="zh-CN"/>
        </w:rPr>
      </w:pPr>
      <w:r>
        <w:t xml:space="preserve">However, </w:t>
      </w:r>
      <w:r w:rsidR="00547A9E">
        <w:t xml:space="preserve">the new data </w:t>
      </w:r>
      <w:r w:rsidR="000D683F">
        <w:t>ca</w:t>
      </w:r>
      <w:r w:rsidR="00FD048A">
        <w:t>n arrive at any time</w:t>
      </w:r>
      <w:r w:rsidR="0052513D">
        <w:t>.</w:t>
      </w:r>
      <w:r w:rsidR="00FD048A">
        <w:t xml:space="preserve"> </w:t>
      </w:r>
      <w:r w:rsidR="0052513D">
        <w:t xml:space="preserve">Once the timer expires, </w:t>
      </w:r>
      <w:r w:rsidR="00FD048A">
        <w:t xml:space="preserve">multiple pre-emptive BSRs still can be sent to </w:t>
      </w:r>
      <w:r w:rsidR="00F40F1C">
        <w:t xml:space="preserve">parent nodes, which may lead to </w:t>
      </w:r>
      <w:r w:rsidR="00094AC7">
        <w:t>similar issue.</w:t>
      </w:r>
    </w:p>
    <w:p w14:paraId="771E8501" w14:textId="1E665812" w:rsidR="00EC7DDA" w:rsidRPr="00DB5198" w:rsidRDefault="00EC7DDA" w:rsidP="00066055">
      <w:pPr>
        <w:pStyle w:val="MiniHeading"/>
      </w:pPr>
      <w:r w:rsidRPr="00E63354">
        <w:rPr>
          <w:b/>
          <w:bCs/>
        </w:rPr>
        <w:t>Solution 2</w:t>
      </w:r>
      <w:r w:rsidRPr="00DB5198">
        <w:t>: Subtract data volume reported in pre-emptive BSR</w:t>
      </w:r>
    </w:p>
    <w:p w14:paraId="090DB5FE" w14:textId="67D18025" w:rsidR="00EC7DDA" w:rsidRDefault="00296EBE" w:rsidP="00EC7DDA">
      <w:r>
        <w:t xml:space="preserve">Different from Solution 1, this solution </w:t>
      </w:r>
      <w:r w:rsidR="00EE0917">
        <w:t xml:space="preserve">aims to </w:t>
      </w:r>
      <w:r w:rsidR="00C9507D">
        <w:t xml:space="preserve">reduce the </w:t>
      </w:r>
      <w:r w:rsidR="00F65108">
        <w:t xml:space="preserve">duplicate data volume directly from </w:t>
      </w:r>
      <w:r w:rsidR="00F15D30">
        <w:t xml:space="preserve">the pre-emptive BSR. </w:t>
      </w:r>
      <w:r w:rsidR="00EC7DDA">
        <w:t>After triggering a pre-emptive BSR, the IAB MT performs the following:</w:t>
      </w:r>
    </w:p>
    <w:p w14:paraId="6E0B8439" w14:textId="77777777" w:rsidR="00EC7DDA" w:rsidRPr="00E63354" w:rsidRDefault="00EC7DDA" w:rsidP="00AE33CA">
      <w:pPr>
        <w:pStyle w:val="ListParagraph"/>
        <w:numPr>
          <w:ilvl w:val="0"/>
          <w:numId w:val="9"/>
        </w:numPr>
        <w:spacing w:after="160" w:line="259" w:lineRule="auto"/>
        <w:jc w:val="both"/>
        <w:rPr>
          <w:rFonts w:ascii="Times New Roman" w:hAnsi="Times New Roman"/>
          <w:sz w:val="20"/>
          <w:szCs w:val="20"/>
        </w:rPr>
      </w:pPr>
      <w:r w:rsidRPr="00E63354">
        <w:rPr>
          <w:rFonts w:ascii="Times New Roman" w:hAnsi="Times New Roman"/>
          <w:sz w:val="20"/>
          <w:szCs w:val="20"/>
        </w:rPr>
        <w:t>Records the LCGs included in the pre-emptive BSR</w:t>
      </w:r>
    </w:p>
    <w:p w14:paraId="4ADC6C54" w14:textId="77777777" w:rsidR="00EC7DDA" w:rsidRPr="00E63354" w:rsidRDefault="00EC7DDA" w:rsidP="00AE33CA">
      <w:pPr>
        <w:pStyle w:val="ListParagraph"/>
        <w:numPr>
          <w:ilvl w:val="0"/>
          <w:numId w:val="9"/>
        </w:numPr>
        <w:spacing w:after="160" w:line="259" w:lineRule="auto"/>
        <w:jc w:val="both"/>
        <w:rPr>
          <w:rFonts w:ascii="Times New Roman" w:hAnsi="Times New Roman"/>
          <w:sz w:val="20"/>
          <w:szCs w:val="20"/>
        </w:rPr>
      </w:pPr>
      <w:r w:rsidRPr="00E63354">
        <w:rPr>
          <w:rFonts w:ascii="Times New Roman" w:hAnsi="Times New Roman"/>
          <w:sz w:val="20"/>
          <w:szCs w:val="20"/>
        </w:rPr>
        <w:t>If new data is received for a logical channel:</w:t>
      </w:r>
    </w:p>
    <w:p w14:paraId="0534A278" w14:textId="77777777" w:rsidR="00EC7DDA" w:rsidRPr="00E63354" w:rsidRDefault="00EC7DDA" w:rsidP="00AE33CA">
      <w:pPr>
        <w:pStyle w:val="ListParagraph"/>
        <w:numPr>
          <w:ilvl w:val="1"/>
          <w:numId w:val="9"/>
        </w:numPr>
        <w:spacing w:after="160" w:line="259" w:lineRule="auto"/>
        <w:jc w:val="both"/>
        <w:rPr>
          <w:rFonts w:ascii="Times New Roman" w:hAnsi="Times New Roman"/>
          <w:sz w:val="20"/>
          <w:szCs w:val="20"/>
        </w:rPr>
      </w:pPr>
      <w:r w:rsidRPr="00E63354">
        <w:rPr>
          <w:rFonts w:ascii="Times New Roman" w:hAnsi="Times New Roman"/>
          <w:sz w:val="20"/>
          <w:szCs w:val="20"/>
        </w:rPr>
        <w:t>determine the data volume of the new data</w:t>
      </w:r>
    </w:p>
    <w:p w14:paraId="4F4981CD" w14:textId="77777777" w:rsidR="00EC7DDA" w:rsidRPr="00E63354" w:rsidRDefault="00EC7DDA" w:rsidP="00AE33CA">
      <w:pPr>
        <w:pStyle w:val="ListParagraph"/>
        <w:numPr>
          <w:ilvl w:val="1"/>
          <w:numId w:val="9"/>
        </w:numPr>
        <w:spacing w:after="160" w:line="259" w:lineRule="auto"/>
        <w:jc w:val="both"/>
        <w:rPr>
          <w:rFonts w:ascii="Times New Roman" w:hAnsi="Times New Roman"/>
          <w:sz w:val="20"/>
          <w:szCs w:val="20"/>
        </w:rPr>
      </w:pPr>
      <w:r w:rsidRPr="00E63354">
        <w:rPr>
          <w:rFonts w:ascii="Times New Roman" w:hAnsi="Times New Roman"/>
          <w:sz w:val="20"/>
          <w:szCs w:val="20"/>
        </w:rPr>
        <w:t>determine the LCG corresponding to the logical channel</w:t>
      </w:r>
    </w:p>
    <w:p w14:paraId="520575C1" w14:textId="77777777" w:rsidR="00EC7DDA" w:rsidRPr="00E63354" w:rsidRDefault="00EC7DDA" w:rsidP="00AE33CA">
      <w:pPr>
        <w:pStyle w:val="ListParagraph"/>
        <w:numPr>
          <w:ilvl w:val="1"/>
          <w:numId w:val="9"/>
        </w:numPr>
        <w:spacing w:after="160" w:line="259" w:lineRule="auto"/>
        <w:jc w:val="both"/>
        <w:rPr>
          <w:rFonts w:ascii="Times New Roman" w:hAnsi="Times New Roman"/>
          <w:sz w:val="20"/>
          <w:szCs w:val="20"/>
        </w:rPr>
      </w:pPr>
      <w:r w:rsidRPr="00E63354">
        <w:rPr>
          <w:rFonts w:ascii="Times New Roman" w:hAnsi="Times New Roman"/>
          <w:sz w:val="20"/>
          <w:szCs w:val="20"/>
        </w:rPr>
        <w:t>If the LCG was included in the pre-emptive BSR, reduce the data volume by the data volume reported in the pre-emptive BSR for the LCG</w:t>
      </w:r>
    </w:p>
    <w:p w14:paraId="3683569D" w14:textId="77777777" w:rsidR="00EC7DDA" w:rsidRPr="00E63354" w:rsidRDefault="00EC7DDA" w:rsidP="00AE33CA">
      <w:pPr>
        <w:pStyle w:val="ListParagraph"/>
        <w:numPr>
          <w:ilvl w:val="0"/>
          <w:numId w:val="9"/>
        </w:numPr>
        <w:spacing w:after="160" w:line="259" w:lineRule="auto"/>
        <w:jc w:val="both"/>
        <w:rPr>
          <w:rFonts w:ascii="Times New Roman" w:hAnsi="Times New Roman"/>
          <w:sz w:val="20"/>
          <w:szCs w:val="20"/>
        </w:rPr>
      </w:pPr>
      <w:r w:rsidRPr="00E63354">
        <w:rPr>
          <w:rFonts w:ascii="Times New Roman" w:hAnsi="Times New Roman"/>
          <w:sz w:val="20"/>
          <w:szCs w:val="20"/>
        </w:rPr>
        <w:t xml:space="preserve">If the data volume is still positive, then trigger a BSR; </w:t>
      </w:r>
      <w:proofErr w:type="gramStart"/>
      <w:r w:rsidRPr="00E63354">
        <w:rPr>
          <w:rFonts w:ascii="Times New Roman" w:hAnsi="Times New Roman"/>
          <w:sz w:val="20"/>
          <w:szCs w:val="20"/>
        </w:rPr>
        <w:t>otherwise</w:t>
      </w:r>
      <w:proofErr w:type="gramEnd"/>
      <w:r w:rsidRPr="00E63354">
        <w:rPr>
          <w:rFonts w:ascii="Times New Roman" w:hAnsi="Times New Roman"/>
          <w:sz w:val="20"/>
          <w:szCs w:val="20"/>
        </w:rPr>
        <w:t xml:space="preserve"> no BSR is triggered.</w:t>
      </w:r>
    </w:p>
    <w:p w14:paraId="679E9548" w14:textId="69A91CE1" w:rsidR="00EC7DDA" w:rsidRDefault="00EC7DDA" w:rsidP="00EC7DDA">
      <w:r>
        <w:t>As another variant of this method, the IAB MT can simply not consider the first data arrival for a logical channel after a pre-emptive BSR for BSR triggering, if the pre-emptive BSR included the corresponding LCG.</w:t>
      </w:r>
    </w:p>
    <w:p w14:paraId="1223A915" w14:textId="42CE7700" w:rsidR="00EC7DDA" w:rsidRDefault="00EC7DDA" w:rsidP="00C819C9">
      <w:r>
        <w:t>This solution can also be implemented at the parent node without changing IAB-MT behavior of BSR triggering.</w:t>
      </w:r>
      <w:r w:rsidR="00906AFB">
        <w:t xml:space="preserve"> That is, </w:t>
      </w:r>
      <w:r w:rsidR="00552747">
        <w:t xml:space="preserve">the parent IAB node which receives a pre-emptive BSR, </w:t>
      </w:r>
      <w:r w:rsidR="005414B6">
        <w:t xml:space="preserve">records the data volume for each LCG reported in the pre-emptive BSR when it provides a UL grant in response. </w:t>
      </w:r>
      <w:r w:rsidR="004C743C">
        <w:t>The parent IAB node modifies the data volum</w:t>
      </w:r>
      <w:r w:rsidR="00B11683">
        <w:t>e for resource allocation accordingly.</w:t>
      </w:r>
    </w:p>
    <w:p w14:paraId="440F51EB" w14:textId="2BD9AC3F" w:rsidR="00C752CF" w:rsidRPr="00E35279" w:rsidRDefault="00253DA5" w:rsidP="00C752CF">
      <w:pPr>
        <w:pStyle w:val="ListParagraph"/>
        <w:numPr>
          <w:ilvl w:val="0"/>
          <w:numId w:val="7"/>
        </w:numPr>
        <w:ind w:left="0" w:firstLine="0"/>
        <w:rPr>
          <w:rFonts w:ascii="Times New Roman" w:hAnsi="Times New Roman"/>
          <w:b/>
          <w:bCs/>
          <w:sz w:val="20"/>
          <w:szCs w:val="20"/>
          <w:lang w:val="en-GB"/>
        </w:rPr>
      </w:pPr>
      <w:bookmarkStart w:id="17" w:name="_Ref61594538"/>
      <w:r w:rsidRPr="25CB0D42">
        <w:rPr>
          <w:rFonts w:ascii="Times New Roman" w:hAnsi="Times New Roman"/>
          <w:b/>
          <w:bCs/>
          <w:sz w:val="20"/>
          <w:szCs w:val="20"/>
          <w:lang w:val="en-GB"/>
        </w:rPr>
        <w:t xml:space="preserve">Reduce the data volume </w:t>
      </w:r>
      <w:r w:rsidR="00CF5787">
        <w:rPr>
          <w:rFonts w:ascii="Times New Roman" w:hAnsi="Times New Roman"/>
          <w:b/>
          <w:bCs/>
          <w:sz w:val="20"/>
          <w:szCs w:val="20"/>
          <w:lang w:val="en-GB"/>
        </w:rPr>
        <w:t xml:space="preserve">in pre-emptive BSR </w:t>
      </w:r>
      <w:r w:rsidRPr="25CB0D42">
        <w:rPr>
          <w:rFonts w:ascii="Times New Roman" w:hAnsi="Times New Roman"/>
          <w:b/>
          <w:bCs/>
          <w:sz w:val="20"/>
          <w:szCs w:val="20"/>
          <w:lang w:val="en-GB"/>
        </w:rPr>
        <w:t xml:space="preserve">if it </w:t>
      </w:r>
      <w:r w:rsidR="00CF5787">
        <w:rPr>
          <w:rFonts w:ascii="Times New Roman" w:hAnsi="Times New Roman"/>
          <w:b/>
          <w:bCs/>
          <w:sz w:val="20"/>
          <w:szCs w:val="20"/>
          <w:lang w:val="en-GB"/>
        </w:rPr>
        <w:t>was</w:t>
      </w:r>
      <w:r w:rsidRPr="25CB0D42">
        <w:rPr>
          <w:rFonts w:ascii="Times New Roman" w:hAnsi="Times New Roman"/>
          <w:b/>
          <w:bCs/>
          <w:sz w:val="20"/>
          <w:szCs w:val="20"/>
          <w:lang w:val="en-GB"/>
        </w:rPr>
        <w:t xml:space="preserve"> reported for the LCG</w:t>
      </w:r>
      <w:r w:rsidR="00396D1D">
        <w:rPr>
          <w:rFonts w:ascii="Times New Roman" w:hAnsi="Times New Roman"/>
          <w:b/>
          <w:bCs/>
          <w:sz w:val="20"/>
          <w:szCs w:val="20"/>
          <w:lang w:val="en-GB"/>
        </w:rPr>
        <w:t>s included in previous pre-emptive BSR</w:t>
      </w:r>
      <w:r w:rsidRPr="25CB0D42">
        <w:rPr>
          <w:rFonts w:ascii="Times New Roman" w:hAnsi="Times New Roman"/>
          <w:b/>
          <w:bCs/>
          <w:sz w:val="20"/>
          <w:szCs w:val="20"/>
          <w:lang w:val="en-GB"/>
        </w:rPr>
        <w:t>.</w:t>
      </w:r>
      <w:bookmarkEnd w:id="17"/>
    </w:p>
    <w:p w14:paraId="30648136" w14:textId="53270B90" w:rsidR="008B762F" w:rsidRPr="00557AB7" w:rsidRDefault="008B762F" w:rsidP="008B762F">
      <w:pPr>
        <w:pStyle w:val="Heading2"/>
      </w:pPr>
      <w:r>
        <w:t>Load information report to IAB-donor CU</w:t>
      </w:r>
    </w:p>
    <w:p w14:paraId="1ABDC6BE" w14:textId="77777777" w:rsidR="008B762F" w:rsidRPr="00C443A5" w:rsidRDefault="008B762F" w:rsidP="008B762F">
      <w:pPr>
        <w:keepNext/>
        <w:rPr>
          <w:rFonts w:eastAsiaTheme="minorEastAsia"/>
          <w:lang w:eastAsia="zh-CN"/>
        </w:rPr>
      </w:pPr>
      <w:r>
        <w:rPr>
          <w:lang w:val="en-GB"/>
        </w:rPr>
        <w:t xml:space="preserve">As address in IF-2, topology-wide fairness should also consider </w:t>
      </w:r>
      <w:proofErr w:type="gramStart"/>
      <w:r>
        <w:rPr>
          <w:lang w:val="en-GB"/>
        </w:rPr>
        <w:t>to balance</w:t>
      </w:r>
      <w:proofErr w:type="gramEnd"/>
      <w:r>
        <w:rPr>
          <w:lang w:val="en-GB"/>
        </w:rPr>
        <w:t xml:space="preserve"> the traffic among BH RLC channels with similar QoS requirement. As shown in </w:t>
      </w:r>
      <w:r>
        <w:rPr>
          <w:lang w:val="en-GB"/>
        </w:rPr>
        <w:fldChar w:fldCharType="begin"/>
      </w:r>
      <w:r>
        <w:rPr>
          <w:lang w:val="en-GB"/>
        </w:rPr>
        <w:instrText xml:space="preserve"> REF _Ref53425626 \h </w:instrText>
      </w:r>
      <w:r>
        <w:rPr>
          <w:lang w:val="en-GB"/>
        </w:rPr>
      </w:r>
      <w:r>
        <w:rPr>
          <w:lang w:val="en-GB"/>
        </w:rPr>
        <w:fldChar w:fldCharType="separate"/>
      </w:r>
      <w:r>
        <w:t xml:space="preserve">Figure </w:t>
      </w:r>
      <w:r>
        <w:rPr>
          <w:noProof/>
        </w:rPr>
        <w:t>2</w:t>
      </w:r>
      <w:r>
        <w:rPr>
          <w:lang w:val="en-GB"/>
        </w:rPr>
        <w:fldChar w:fldCharType="end"/>
      </w:r>
      <w:r>
        <w:rPr>
          <w:lang w:val="en-GB"/>
        </w:rPr>
        <w:t xml:space="preserve">, </w:t>
      </w:r>
      <w:r w:rsidRPr="00C443A5">
        <w:rPr>
          <w:rFonts w:eastAsiaTheme="minorEastAsia"/>
          <w:lang w:eastAsia="zh-CN"/>
        </w:rPr>
        <w:t>BH RLC Channel A is mapped with UE2 radio bearer, and BH RLC Channel B contains radio bearers from UE1/UE3/UE4 who share the same QoS requirement</w:t>
      </w:r>
      <w:r w:rsidRPr="00C46318">
        <w:rPr>
          <w:lang w:val="en-GB"/>
        </w:rPr>
        <w:t xml:space="preserve"> </w:t>
      </w:r>
      <w:r>
        <w:rPr>
          <w:lang w:val="en-GB"/>
        </w:rPr>
        <w:t>as BH RLC Channel A</w:t>
      </w:r>
      <w:r w:rsidRPr="00C443A5">
        <w:rPr>
          <w:rFonts w:eastAsiaTheme="minorEastAsia"/>
          <w:lang w:eastAsia="zh-CN"/>
        </w:rPr>
        <w:t xml:space="preserve">. It is obvious that the traffic load of BH RLC channel A and B is not balanced. Along with the traffic emerging from/to descendant IAB nodes, there’s a risk that IAB node 2 may have congestion. Thus, comparing with UE2, UE1/UE3/UE4 will experience higher latency due to congestion and hence lead to end user experience unfairness. </w:t>
      </w:r>
    </w:p>
    <w:p w14:paraId="7D7E1D7E" w14:textId="77777777" w:rsidR="008B762F" w:rsidRDefault="008B762F" w:rsidP="008B762F">
      <w:pPr>
        <w:rPr>
          <w:lang w:val="en-GB"/>
        </w:rPr>
      </w:pPr>
      <w:r>
        <w:rPr>
          <w:lang w:val="en-GB"/>
        </w:rPr>
        <w:t xml:space="preserve">To better address above questions, a centralized fairness among BH RLC channels with similar QoS requirement is proposed, which is also captured as proposal 8 in </w:t>
      </w:r>
      <w:r>
        <w:rPr>
          <w:lang w:val="en-GB"/>
        </w:rPr>
        <w:fldChar w:fldCharType="begin"/>
      </w:r>
      <w:r>
        <w:rPr>
          <w:lang w:val="en-GB"/>
        </w:rPr>
        <w:instrText xml:space="preserve"> REF _Ref70842791 \n \h </w:instrText>
      </w:r>
      <w:r>
        <w:rPr>
          <w:lang w:val="en-GB"/>
        </w:rPr>
      </w:r>
      <w:r>
        <w:rPr>
          <w:lang w:val="en-GB"/>
        </w:rPr>
        <w:fldChar w:fldCharType="separate"/>
      </w:r>
      <w:r>
        <w:rPr>
          <w:lang w:val="en-GB"/>
        </w:rPr>
        <w:t>[1]</w:t>
      </w:r>
      <w:r>
        <w:rPr>
          <w:lang w:val="en-GB"/>
        </w:rPr>
        <w:fldChar w:fldCharType="end"/>
      </w:r>
      <w:r>
        <w:rPr>
          <w:lang w:val="en-GB"/>
        </w:rPr>
        <w:t xml:space="preserve">.  </w:t>
      </w:r>
    </w:p>
    <w:p w14:paraId="6A3E6CFF" w14:textId="77777777" w:rsidR="008B762F" w:rsidRDefault="008B762F" w:rsidP="008B762F">
      <w:pPr>
        <w:rPr>
          <w:lang w:eastAsia="zh-CN"/>
        </w:rPr>
      </w:pPr>
      <w:r>
        <w:rPr>
          <w:lang w:val="en-GB"/>
        </w:rPr>
        <w:t xml:space="preserve">Mobility load balancing for Self-optimisation Network (SON) is used to distribute load evenly among cells and among areas of cells, or to transfer part of the traffic from congested cell or from </w:t>
      </w:r>
      <w:r w:rsidRPr="00F1484D">
        <w:rPr>
          <w:lang w:eastAsia="zh-CN"/>
        </w:rPr>
        <w:t xml:space="preserve">congested cell or from congested </w:t>
      </w:r>
      <w:r w:rsidRPr="00F1484D">
        <w:lastRenderedPageBreak/>
        <w:t>areas of cells</w:t>
      </w:r>
      <w:r w:rsidRPr="00F1484D">
        <w:rPr>
          <w:lang w:eastAsia="zh-CN"/>
        </w:rPr>
        <w:t xml:space="preserve">, or to offload users from one cell, cell area, </w:t>
      </w:r>
      <w:proofErr w:type="gramStart"/>
      <w:r w:rsidRPr="00F1484D">
        <w:rPr>
          <w:lang w:eastAsia="zh-CN"/>
        </w:rPr>
        <w:t>carrier</w:t>
      </w:r>
      <w:proofErr w:type="gramEnd"/>
      <w:r w:rsidRPr="00F1484D">
        <w:rPr>
          <w:lang w:eastAsia="zh-CN"/>
        </w:rPr>
        <w:t xml:space="preserve"> or RAT to achieve network energy saving.</w:t>
      </w:r>
      <w:r>
        <w:rPr>
          <w:lang w:eastAsia="zh-CN"/>
        </w:rPr>
        <w:t xml:space="preserve"> Similar concept can also be used to address problem 1) as mentioned above. </w:t>
      </w:r>
    </w:p>
    <w:p w14:paraId="77E86726" w14:textId="77777777" w:rsidR="008B762F" w:rsidRDefault="008B762F" w:rsidP="008B762F">
      <w:pPr>
        <w:rPr>
          <w:lang w:val="en-GB"/>
        </w:rPr>
      </w:pPr>
      <w:r w:rsidRPr="08B17480">
        <w:rPr>
          <w:lang w:val="en-GB"/>
        </w:rPr>
        <w:t xml:space="preserve">However, load balance in IAB network is not purely to distribute traffic evenly in all paths/BH RLC channels. In IAB network, different BH RLC channels map with single UE bearer or multiple UE bearer with similar QoS profile, here we consider balancing traffic between BH RLC channels who has similar QoS requirement. As shown in </w:t>
      </w:r>
      <w:r w:rsidRPr="08B17480">
        <w:rPr>
          <w:lang w:val="en-GB"/>
        </w:rPr>
        <w:fldChar w:fldCharType="begin"/>
      </w:r>
      <w:r w:rsidRPr="08B17480">
        <w:rPr>
          <w:lang w:val="en-GB"/>
        </w:rPr>
        <w:instrText xml:space="preserve"> REF _Ref53425626 \h </w:instrText>
      </w:r>
      <w:r w:rsidRPr="08B17480">
        <w:rPr>
          <w:lang w:val="en-GB"/>
        </w:rPr>
      </w:r>
      <w:r w:rsidRPr="08B17480">
        <w:rPr>
          <w:lang w:val="en-GB"/>
        </w:rPr>
        <w:fldChar w:fldCharType="separate"/>
      </w:r>
      <w:r>
        <w:t xml:space="preserve">Figure </w:t>
      </w:r>
      <w:r w:rsidRPr="08B17480">
        <w:rPr>
          <w:noProof/>
        </w:rPr>
        <w:t>2</w:t>
      </w:r>
      <w:r w:rsidRPr="08B17480">
        <w:rPr>
          <w:lang w:val="en-GB"/>
        </w:rPr>
        <w:fldChar w:fldCharType="end"/>
      </w:r>
      <w:r w:rsidRPr="08B17480">
        <w:rPr>
          <w:lang w:val="en-GB"/>
        </w:rPr>
        <w:t>, BH RLC channel A and B have similar QoS requirement, by considering load balance between BH RLC channels, IAB donor CU can change UE4’s routing path into “IAB node 6 &lt;-&gt; IAB node 4 &lt;-&gt; IAB node 1 &lt;-&gt; IAB Donor”, thus balancing traffic between channel A and B helps to avoid possible congestion at IAB node 2, where the congestion may lead to delay and unfairness to UE1/UE3/UE4. Load reporting information in SON mobility load balancing, such as radio resource usage, capacity value, RRC connections, number of active UEs, can also be used in IAB, only changing per cell reporting into per BH RLC channel. Besides, as IAB donor CU has the availability of QoS profile of each BH RLC channel, load reporting doesn’t need to include QoS profile.</w:t>
      </w:r>
    </w:p>
    <w:p w14:paraId="29CA07F4" w14:textId="77777777" w:rsidR="008B762F" w:rsidRPr="001A7C1F" w:rsidRDefault="008B762F" w:rsidP="008B762F">
      <w:pPr>
        <w:pStyle w:val="ListParagraph"/>
        <w:numPr>
          <w:ilvl w:val="0"/>
          <w:numId w:val="7"/>
        </w:numPr>
        <w:ind w:left="0" w:firstLine="0"/>
        <w:rPr>
          <w:rFonts w:ascii="Times New Roman" w:eastAsia="Times New Roman" w:hAnsi="Times New Roman"/>
          <w:b/>
          <w:bCs/>
          <w:sz w:val="20"/>
          <w:szCs w:val="20"/>
          <w:lang w:val="en-GB"/>
        </w:rPr>
      </w:pPr>
      <w:bookmarkStart w:id="18" w:name="_Ref53497487"/>
      <w:r>
        <w:rPr>
          <w:rFonts w:ascii="Times New Roman" w:eastAsia="Times New Roman" w:hAnsi="Times New Roman"/>
          <w:b/>
          <w:bCs/>
          <w:sz w:val="20"/>
          <w:szCs w:val="20"/>
          <w:lang w:val="en-GB"/>
        </w:rPr>
        <w:t xml:space="preserve">To solve IF-1, </w:t>
      </w:r>
      <w:r w:rsidRPr="2CFB6FD1">
        <w:rPr>
          <w:rFonts w:ascii="Times New Roman" w:eastAsia="Times New Roman" w:hAnsi="Times New Roman"/>
          <w:b/>
          <w:bCs/>
          <w:sz w:val="20"/>
          <w:szCs w:val="20"/>
        </w:rPr>
        <w:t xml:space="preserve">QoS-based load balancing is used for balance traffic load among BH RLC channels holding UE bearers with similar QoS profile. </w:t>
      </w:r>
      <w:r>
        <w:rPr>
          <w:rFonts w:ascii="Times New Roman" w:eastAsia="Times New Roman" w:hAnsi="Times New Roman"/>
          <w:b/>
          <w:bCs/>
          <w:sz w:val="20"/>
          <w:szCs w:val="20"/>
        </w:rPr>
        <w:t xml:space="preserve">Solutions </w:t>
      </w:r>
      <w:proofErr w:type="gramStart"/>
      <w:r>
        <w:rPr>
          <w:rFonts w:ascii="Times New Roman" w:eastAsia="Times New Roman" w:hAnsi="Times New Roman"/>
          <w:b/>
          <w:bCs/>
          <w:sz w:val="20"/>
          <w:szCs w:val="20"/>
        </w:rPr>
        <w:t>similar to</w:t>
      </w:r>
      <w:proofErr w:type="gramEnd"/>
      <w:r>
        <w:rPr>
          <w:rFonts w:ascii="Times New Roman" w:eastAsia="Times New Roman" w:hAnsi="Times New Roman"/>
          <w:b/>
          <w:bCs/>
          <w:sz w:val="20"/>
          <w:szCs w:val="20"/>
        </w:rPr>
        <w:t xml:space="preserve"> that for </w:t>
      </w:r>
      <w:r w:rsidRPr="001A7C1F">
        <w:rPr>
          <w:rFonts w:ascii="Times New Roman" w:eastAsia="Times New Roman" w:hAnsi="Times New Roman"/>
          <w:b/>
          <w:bCs/>
          <w:sz w:val="20"/>
          <w:szCs w:val="20"/>
        </w:rPr>
        <w:t>Mobility load balancing for SON can be used as baseline</w:t>
      </w:r>
      <w:r w:rsidRPr="2CFB6FD1">
        <w:rPr>
          <w:rFonts w:ascii="Times New Roman" w:eastAsia="Times New Roman" w:hAnsi="Times New Roman"/>
          <w:b/>
          <w:bCs/>
          <w:sz w:val="20"/>
          <w:szCs w:val="20"/>
        </w:rPr>
        <w:t>.</w:t>
      </w:r>
      <w:bookmarkEnd w:id="18"/>
    </w:p>
    <w:p w14:paraId="469FEBE4" w14:textId="77777777" w:rsidR="008B762F" w:rsidRPr="001A7C1F" w:rsidRDefault="008B762F" w:rsidP="008B762F">
      <w:pPr>
        <w:pStyle w:val="ListParagraph"/>
        <w:numPr>
          <w:ilvl w:val="0"/>
          <w:numId w:val="7"/>
        </w:numPr>
        <w:ind w:left="0" w:firstLine="0"/>
        <w:rPr>
          <w:rFonts w:ascii="Times New Roman" w:eastAsia="Times New Roman" w:hAnsi="Times New Roman"/>
          <w:b/>
          <w:bCs/>
          <w:lang w:val="en-GB"/>
        </w:rPr>
      </w:pPr>
      <w:bookmarkStart w:id="19" w:name="_Ref53497505"/>
      <w:r>
        <w:rPr>
          <w:rFonts w:ascii="Times New Roman" w:eastAsia="Times New Roman" w:hAnsi="Times New Roman"/>
          <w:b/>
          <w:bCs/>
          <w:sz w:val="20"/>
          <w:szCs w:val="20"/>
        </w:rPr>
        <w:t>To solve IF-1, l</w:t>
      </w:r>
      <w:r w:rsidRPr="001A7C1F">
        <w:rPr>
          <w:rFonts w:ascii="Times New Roman" w:eastAsia="Times New Roman" w:hAnsi="Times New Roman"/>
          <w:b/>
          <w:bCs/>
          <w:sz w:val="20"/>
          <w:szCs w:val="20"/>
        </w:rPr>
        <w:t xml:space="preserve">oad related information should be reported </w:t>
      </w:r>
      <w:r w:rsidRPr="2CFB6FD1">
        <w:rPr>
          <w:rFonts w:ascii="Times New Roman" w:eastAsia="Times New Roman" w:hAnsi="Times New Roman"/>
          <w:b/>
          <w:bCs/>
          <w:sz w:val="20"/>
          <w:szCs w:val="20"/>
        </w:rPr>
        <w:t xml:space="preserve">to IAB donor-CU </w:t>
      </w:r>
      <w:r w:rsidRPr="001A7C1F">
        <w:rPr>
          <w:rFonts w:ascii="Times New Roman" w:eastAsia="Times New Roman" w:hAnsi="Times New Roman"/>
          <w:b/>
          <w:bCs/>
          <w:sz w:val="20"/>
          <w:szCs w:val="20"/>
        </w:rPr>
        <w:t>per BH RLC channel.</w:t>
      </w:r>
      <w:bookmarkEnd w:id="19"/>
    </w:p>
    <w:p w14:paraId="0B5E8843" w14:textId="43E55AD7" w:rsidR="003300FF" w:rsidRDefault="003300FF" w:rsidP="003300FF">
      <w:pPr>
        <w:pStyle w:val="Heading1"/>
      </w:pPr>
      <w:r>
        <w:t>Conclusion</w:t>
      </w:r>
    </w:p>
    <w:p w14:paraId="64A0ECB8" w14:textId="7A688728" w:rsidR="00E247EB" w:rsidRDefault="003300FF" w:rsidP="003300FF">
      <w:r>
        <w:t xml:space="preserve">This contribution discussed </w:t>
      </w:r>
      <w:r w:rsidR="002210FF">
        <w:t xml:space="preserve">solutions for </w:t>
      </w:r>
      <w:r w:rsidR="00C5559E">
        <w:t>topology-wide fairness</w:t>
      </w:r>
      <w:r w:rsidR="005815F0">
        <w:t xml:space="preserve">, </w:t>
      </w:r>
      <w:r w:rsidR="00C5559E">
        <w:t>latency</w:t>
      </w:r>
      <w:r w:rsidR="006939CD">
        <w:t>,</w:t>
      </w:r>
      <w:r w:rsidR="00C5559E">
        <w:t xml:space="preserve"> </w:t>
      </w:r>
      <w:r w:rsidR="005815F0">
        <w:t xml:space="preserve">and congestion </w:t>
      </w:r>
      <w:r w:rsidR="002210FF">
        <w:t xml:space="preserve">enhancement. </w:t>
      </w:r>
      <w:r w:rsidR="005815F0">
        <w:t xml:space="preserve">We analyzed the pros and cons </w:t>
      </w:r>
      <w:r w:rsidR="006939CD">
        <w:t>of</w:t>
      </w:r>
      <w:r w:rsidR="005815F0">
        <w:t xml:space="preserve"> different proposed </w:t>
      </w:r>
      <w:r w:rsidR="002210FF">
        <w:t xml:space="preserve">solutions in </w:t>
      </w:r>
      <w:r w:rsidR="005815F0">
        <w:t>R2-2104535</w:t>
      </w:r>
      <w:r w:rsidR="002F69A9">
        <w:t xml:space="preserve">. Also, the issue of inaccurate pre-emptive BSR calculation is discussed and we propose a solution accordingly. </w:t>
      </w:r>
    </w:p>
    <w:p w14:paraId="5FF19A78" w14:textId="04AA62BD" w:rsidR="00C54F21" w:rsidRDefault="008B4C49" w:rsidP="003300FF">
      <w:r>
        <w:t>We have following observations and proposals</w:t>
      </w:r>
      <w:r w:rsidR="00FF3AA6">
        <w:t>:</w:t>
      </w:r>
    </w:p>
    <w:p w14:paraId="2887FB4B" w14:textId="662816F3" w:rsidR="008607FF" w:rsidRPr="00BA3075" w:rsidRDefault="00E86514" w:rsidP="003300FF">
      <w:pPr>
        <w:rPr>
          <w:b/>
          <w:bCs/>
        </w:rPr>
      </w:pPr>
      <w:r w:rsidRPr="00BA3075">
        <w:rPr>
          <w:b/>
          <w:bCs/>
        </w:rPr>
        <w:fldChar w:fldCharType="begin"/>
      </w:r>
      <w:r w:rsidRPr="00BA3075">
        <w:rPr>
          <w:b/>
          <w:bCs/>
        </w:rPr>
        <w:instrText xml:space="preserve"> REF _Ref71586205 \r \h </w:instrText>
      </w:r>
      <w:r w:rsidR="008607FF">
        <w:rPr>
          <w:b/>
          <w:bCs/>
        </w:rPr>
        <w:instrText xml:space="preserve"> \* MERGEFORMAT </w:instrText>
      </w:r>
      <w:r w:rsidRPr="00BA3075">
        <w:rPr>
          <w:b/>
          <w:bCs/>
        </w:rPr>
      </w:r>
      <w:r w:rsidRPr="00BA3075">
        <w:rPr>
          <w:b/>
          <w:bCs/>
        </w:rPr>
        <w:fldChar w:fldCharType="separate"/>
      </w:r>
      <w:r w:rsidRPr="00BA3075">
        <w:rPr>
          <w:b/>
          <w:bCs/>
        </w:rPr>
        <w:t>Observation 1:</w:t>
      </w:r>
      <w:r w:rsidRPr="00BA3075">
        <w:rPr>
          <w:b/>
          <w:bCs/>
        </w:rPr>
        <w:fldChar w:fldCharType="end"/>
      </w:r>
      <w:r w:rsidRPr="00BA3075">
        <w:rPr>
          <w:b/>
          <w:bCs/>
        </w:rPr>
        <w:fldChar w:fldCharType="begin"/>
      </w:r>
      <w:r w:rsidRPr="00BA3075">
        <w:rPr>
          <w:b/>
          <w:bCs/>
        </w:rPr>
        <w:instrText xml:space="preserve"> REF _Ref71586205 \h </w:instrText>
      </w:r>
      <w:r w:rsidR="008607FF">
        <w:rPr>
          <w:b/>
          <w:bCs/>
        </w:rPr>
        <w:instrText xml:space="preserve"> \* MERGEFORMAT </w:instrText>
      </w:r>
      <w:r w:rsidRPr="00BA3075">
        <w:rPr>
          <w:b/>
          <w:bCs/>
        </w:rPr>
      </w:r>
      <w:r w:rsidRPr="00BA3075">
        <w:rPr>
          <w:b/>
          <w:bCs/>
        </w:rPr>
        <w:fldChar w:fldCharType="separate"/>
      </w:r>
      <w:r w:rsidRPr="008607FF">
        <w:rPr>
          <w:rFonts w:eastAsia="Times New Roman"/>
          <w:b/>
          <w:bCs/>
        </w:rPr>
        <w:t>The topology-wide fairness covers the improvement of latency and throughput. The solutions to latency or congestion should not lead to worse topology-wide fairness performance in the IAB-network.</w:t>
      </w:r>
      <w:r w:rsidRPr="00BA3075">
        <w:rPr>
          <w:b/>
          <w:bCs/>
        </w:rPr>
        <w:fldChar w:fldCharType="end"/>
      </w:r>
    </w:p>
    <w:p w14:paraId="7DE0FE9D" w14:textId="0877D484" w:rsidR="008607FF" w:rsidRPr="00BA3075" w:rsidRDefault="00E86514" w:rsidP="003300FF">
      <w:pPr>
        <w:rPr>
          <w:b/>
          <w:bCs/>
        </w:rPr>
      </w:pPr>
      <w:r w:rsidRPr="00BA3075">
        <w:rPr>
          <w:b/>
          <w:bCs/>
        </w:rPr>
        <w:fldChar w:fldCharType="begin"/>
      </w:r>
      <w:r w:rsidRPr="00BA3075">
        <w:rPr>
          <w:b/>
          <w:bCs/>
        </w:rPr>
        <w:instrText xml:space="preserve"> REF _Ref78999803 \r \h </w:instrText>
      </w:r>
      <w:r w:rsidR="008607FF">
        <w:rPr>
          <w:b/>
          <w:bCs/>
        </w:rPr>
        <w:instrText xml:space="preserve"> \* MERGEFORMAT </w:instrText>
      </w:r>
      <w:r w:rsidRPr="00BA3075">
        <w:rPr>
          <w:b/>
          <w:bCs/>
        </w:rPr>
      </w:r>
      <w:r w:rsidRPr="00BA3075">
        <w:rPr>
          <w:b/>
          <w:bCs/>
        </w:rPr>
        <w:fldChar w:fldCharType="separate"/>
      </w:r>
      <w:r w:rsidRPr="00BA3075">
        <w:rPr>
          <w:b/>
          <w:bCs/>
        </w:rPr>
        <w:t>Proposal 1:</w:t>
      </w:r>
      <w:r w:rsidRPr="00BA3075">
        <w:rPr>
          <w:b/>
          <w:bCs/>
        </w:rPr>
        <w:fldChar w:fldCharType="end"/>
      </w:r>
      <w:r w:rsidRPr="00BA3075">
        <w:rPr>
          <w:b/>
          <w:bCs/>
        </w:rPr>
        <w:fldChar w:fldCharType="begin"/>
      </w:r>
      <w:r w:rsidRPr="00BA3075">
        <w:rPr>
          <w:b/>
          <w:bCs/>
        </w:rPr>
        <w:instrText xml:space="preserve"> REF _Ref78999803 \h </w:instrText>
      </w:r>
      <w:r w:rsidR="008607FF">
        <w:rPr>
          <w:b/>
          <w:bCs/>
        </w:rPr>
        <w:instrText xml:space="preserve"> \* MERGEFORMAT </w:instrText>
      </w:r>
      <w:r w:rsidRPr="00BA3075">
        <w:rPr>
          <w:b/>
          <w:bCs/>
        </w:rPr>
      </w:r>
      <w:r w:rsidRPr="00BA3075">
        <w:rPr>
          <w:b/>
          <w:bCs/>
        </w:rPr>
        <w:fldChar w:fldCharType="separate"/>
      </w:r>
      <w:r w:rsidRPr="008607FF">
        <w:rPr>
          <w:b/>
          <w:bCs/>
          <w:lang w:val="en-GB"/>
        </w:rPr>
        <w:t>Solutions to one issue should not overwrite/conflict with solution results for another issue. RAN2 to prioritize solution(s) which can solve issues of both fairness and latency than solution(s) to single issue.</w:t>
      </w:r>
      <w:r w:rsidRPr="00BA3075">
        <w:rPr>
          <w:b/>
          <w:bCs/>
        </w:rPr>
        <w:fldChar w:fldCharType="end"/>
      </w:r>
    </w:p>
    <w:p w14:paraId="585E5A37" w14:textId="1243EAF2" w:rsidR="008607FF" w:rsidRPr="00BA3075" w:rsidRDefault="00E86514" w:rsidP="003300FF">
      <w:pPr>
        <w:rPr>
          <w:b/>
          <w:bCs/>
        </w:rPr>
      </w:pPr>
      <w:r w:rsidRPr="00BA3075">
        <w:rPr>
          <w:b/>
          <w:bCs/>
        </w:rPr>
        <w:fldChar w:fldCharType="begin"/>
      </w:r>
      <w:r w:rsidRPr="00BA3075">
        <w:rPr>
          <w:b/>
          <w:bCs/>
        </w:rPr>
        <w:instrText xml:space="preserve"> REF _Ref78999809 \r \h </w:instrText>
      </w:r>
      <w:r w:rsidR="008607FF">
        <w:rPr>
          <w:b/>
          <w:bCs/>
        </w:rPr>
        <w:instrText xml:space="preserve"> \* MERGEFORMAT </w:instrText>
      </w:r>
      <w:r w:rsidRPr="00BA3075">
        <w:rPr>
          <w:b/>
          <w:bCs/>
        </w:rPr>
      </w:r>
      <w:r w:rsidRPr="00BA3075">
        <w:rPr>
          <w:b/>
          <w:bCs/>
        </w:rPr>
        <w:fldChar w:fldCharType="separate"/>
      </w:r>
      <w:r w:rsidRPr="00BA3075">
        <w:rPr>
          <w:b/>
          <w:bCs/>
        </w:rPr>
        <w:t>Observation 2:</w:t>
      </w:r>
      <w:r w:rsidRPr="00BA3075">
        <w:rPr>
          <w:b/>
          <w:bCs/>
        </w:rPr>
        <w:fldChar w:fldCharType="end"/>
      </w:r>
      <w:r w:rsidRPr="00BA3075">
        <w:rPr>
          <w:b/>
          <w:bCs/>
        </w:rPr>
        <w:fldChar w:fldCharType="begin"/>
      </w:r>
      <w:r w:rsidRPr="00BA3075">
        <w:rPr>
          <w:b/>
          <w:bCs/>
        </w:rPr>
        <w:instrText xml:space="preserve"> REF _Ref78999809 \h </w:instrText>
      </w:r>
      <w:r w:rsidR="008607FF">
        <w:rPr>
          <w:b/>
          <w:bCs/>
        </w:rPr>
        <w:instrText xml:space="preserve"> \* MERGEFORMAT </w:instrText>
      </w:r>
      <w:r w:rsidRPr="00BA3075">
        <w:rPr>
          <w:b/>
          <w:bCs/>
        </w:rPr>
      </w:r>
      <w:r w:rsidRPr="00BA3075">
        <w:rPr>
          <w:b/>
          <w:bCs/>
        </w:rPr>
        <w:fldChar w:fldCharType="separate"/>
      </w:r>
      <w:r w:rsidRPr="008607FF">
        <w:rPr>
          <w:rFonts w:eastAsia="Times New Roman"/>
          <w:b/>
          <w:bCs/>
          <w:lang w:val="en-GB"/>
        </w:rPr>
        <w:t>Intermediate IAB-node can local-reroute partial radio bearers of the UE to another path, avoiding overloading the target path. This requires</w:t>
      </w:r>
      <w:r w:rsidRPr="008607FF">
        <w:rPr>
          <w:rFonts w:eastAsia="Times New Roman"/>
          <w:b/>
          <w:bCs/>
        </w:rPr>
        <w:t xml:space="preserve"> UE bearer ID in the BAP header.</w:t>
      </w:r>
      <w:r w:rsidRPr="00BA3075">
        <w:rPr>
          <w:b/>
          <w:bCs/>
        </w:rPr>
        <w:fldChar w:fldCharType="end"/>
      </w:r>
    </w:p>
    <w:p w14:paraId="43AC7020" w14:textId="532B3169" w:rsidR="008607FF" w:rsidRPr="00BA3075" w:rsidRDefault="00534C76" w:rsidP="003300FF">
      <w:pPr>
        <w:rPr>
          <w:b/>
          <w:bCs/>
        </w:rPr>
      </w:pPr>
      <w:r w:rsidRPr="00BA3075">
        <w:rPr>
          <w:b/>
          <w:bCs/>
        </w:rPr>
        <w:fldChar w:fldCharType="begin"/>
      </w:r>
      <w:r w:rsidRPr="00BA3075">
        <w:rPr>
          <w:b/>
          <w:bCs/>
        </w:rPr>
        <w:instrText xml:space="preserve"> REF _Ref71586229 \r \h </w:instrText>
      </w:r>
      <w:r w:rsidR="008607FF">
        <w:rPr>
          <w:b/>
          <w:bCs/>
        </w:rPr>
        <w:instrText xml:space="preserve"> \* MERGEFORMAT </w:instrText>
      </w:r>
      <w:r w:rsidRPr="00BA3075">
        <w:rPr>
          <w:b/>
          <w:bCs/>
        </w:rPr>
      </w:r>
      <w:r w:rsidRPr="00BA3075">
        <w:rPr>
          <w:b/>
          <w:bCs/>
        </w:rPr>
        <w:fldChar w:fldCharType="separate"/>
      </w:r>
      <w:r w:rsidRPr="00BA3075">
        <w:rPr>
          <w:b/>
          <w:bCs/>
        </w:rPr>
        <w:t>Observation 3:</w:t>
      </w:r>
      <w:r w:rsidRPr="00BA3075">
        <w:rPr>
          <w:b/>
          <w:bCs/>
        </w:rPr>
        <w:fldChar w:fldCharType="end"/>
      </w:r>
      <w:r w:rsidRPr="00BA3075">
        <w:rPr>
          <w:b/>
          <w:bCs/>
        </w:rPr>
        <w:fldChar w:fldCharType="begin"/>
      </w:r>
      <w:r w:rsidRPr="00BA3075">
        <w:rPr>
          <w:b/>
          <w:bCs/>
        </w:rPr>
        <w:instrText xml:space="preserve"> REF _Ref71586229 \h </w:instrText>
      </w:r>
      <w:r w:rsidR="008607FF">
        <w:rPr>
          <w:b/>
          <w:bCs/>
        </w:rPr>
        <w:instrText xml:space="preserve"> \* MERGEFORMAT </w:instrText>
      </w:r>
      <w:r w:rsidRPr="00BA3075">
        <w:rPr>
          <w:b/>
          <w:bCs/>
        </w:rPr>
      </w:r>
      <w:r w:rsidRPr="00BA3075">
        <w:rPr>
          <w:b/>
          <w:bCs/>
        </w:rPr>
        <w:fldChar w:fldCharType="separate"/>
      </w:r>
      <w:r w:rsidRPr="008607FF">
        <w:rPr>
          <w:rFonts w:eastAsia="Times New Roman"/>
          <w:b/>
          <w:bCs/>
        </w:rPr>
        <w:t>Within the same BH RLC channel, more resource may be allocated to the UE radio bearer with higher throughput, which may lead to unfairness to other UE bearers. Fair resource allocation requires UE bearer ID in the BAP header.</w:t>
      </w:r>
      <w:r w:rsidRPr="00BA3075">
        <w:rPr>
          <w:b/>
          <w:bCs/>
        </w:rPr>
        <w:fldChar w:fldCharType="end"/>
      </w:r>
    </w:p>
    <w:p w14:paraId="0FD76AE1" w14:textId="73F6D620" w:rsidR="008607FF" w:rsidRPr="00BA3075" w:rsidRDefault="00534C76" w:rsidP="003300FF">
      <w:pPr>
        <w:rPr>
          <w:b/>
          <w:bCs/>
        </w:rPr>
      </w:pPr>
      <w:r w:rsidRPr="00BA3075">
        <w:rPr>
          <w:b/>
          <w:bCs/>
        </w:rPr>
        <w:fldChar w:fldCharType="begin"/>
      </w:r>
      <w:r w:rsidRPr="00BA3075">
        <w:rPr>
          <w:b/>
          <w:bCs/>
        </w:rPr>
        <w:instrText xml:space="preserve"> REF _Ref78999825 \w \h </w:instrText>
      </w:r>
      <w:r w:rsidR="008607FF">
        <w:rPr>
          <w:b/>
          <w:bCs/>
        </w:rPr>
        <w:instrText xml:space="preserve"> \* MERGEFORMAT </w:instrText>
      </w:r>
      <w:r w:rsidRPr="00BA3075">
        <w:rPr>
          <w:b/>
          <w:bCs/>
        </w:rPr>
      </w:r>
      <w:r w:rsidRPr="00BA3075">
        <w:rPr>
          <w:b/>
          <w:bCs/>
        </w:rPr>
        <w:fldChar w:fldCharType="separate"/>
      </w:r>
      <w:r w:rsidRPr="00BA3075">
        <w:rPr>
          <w:b/>
          <w:bCs/>
        </w:rPr>
        <w:t>Proposal 2:</w:t>
      </w:r>
      <w:r w:rsidRPr="00BA3075">
        <w:rPr>
          <w:b/>
          <w:bCs/>
        </w:rPr>
        <w:fldChar w:fldCharType="end"/>
      </w:r>
      <w:r w:rsidRPr="00BA3075">
        <w:rPr>
          <w:b/>
          <w:bCs/>
        </w:rPr>
        <w:fldChar w:fldCharType="begin"/>
      </w:r>
      <w:r w:rsidRPr="00BA3075">
        <w:rPr>
          <w:b/>
          <w:bCs/>
        </w:rPr>
        <w:instrText xml:space="preserve"> REF _Ref78999825 \h </w:instrText>
      </w:r>
      <w:r w:rsidR="008607FF">
        <w:rPr>
          <w:b/>
          <w:bCs/>
        </w:rPr>
        <w:instrText xml:space="preserve"> \* MERGEFORMAT </w:instrText>
      </w:r>
      <w:r w:rsidRPr="00BA3075">
        <w:rPr>
          <w:b/>
          <w:bCs/>
        </w:rPr>
      </w:r>
      <w:r w:rsidRPr="00BA3075">
        <w:rPr>
          <w:b/>
          <w:bCs/>
        </w:rPr>
        <w:fldChar w:fldCharType="separate"/>
      </w:r>
      <w:r w:rsidRPr="008607FF">
        <w:rPr>
          <w:b/>
          <w:bCs/>
          <w:lang w:val="en-GB"/>
        </w:rPr>
        <w:t>The BAP header includes UE bearer identity to enable latency optimization for fairness scheduling.</w:t>
      </w:r>
      <w:r w:rsidRPr="00BA3075">
        <w:rPr>
          <w:b/>
          <w:bCs/>
        </w:rPr>
        <w:fldChar w:fldCharType="end"/>
      </w:r>
    </w:p>
    <w:p w14:paraId="70DBAA42" w14:textId="086BD1F0" w:rsidR="008607FF" w:rsidRPr="00BA3075" w:rsidRDefault="00534C76" w:rsidP="003300FF">
      <w:pPr>
        <w:rPr>
          <w:b/>
          <w:bCs/>
        </w:rPr>
      </w:pPr>
      <w:r w:rsidRPr="00BA3075">
        <w:rPr>
          <w:b/>
          <w:bCs/>
        </w:rPr>
        <w:fldChar w:fldCharType="begin"/>
      </w:r>
      <w:r w:rsidRPr="00BA3075">
        <w:rPr>
          <w:b/>
          <w:bCs/>
        </w:rPr>
        <w:instrText xml:space="preserve"> REF _Ref71586251 \w \h </w:instrText>
      </w:r>
      <w:r w:rsidR="008607FF">
        <w:rPr>
          <w:b/>
          <w:bCs/>
        </w:rPr>
        <w:instrText xml:space="preserve"> \* MERGEFORMAT </w:instrText>
      </w:r>
      <w:r w:rsidRPr="00BA3075">
        <w:rPr>
          <w:b/>
          <w:bCs/>
        </w:rPr>
      </w:r>
      <w:r w:rsidRPr="00BA3075">
        <w:rPr>
          <w:b/>
          <w:bCs/>
        </w:rPr>
        <w:fldChar w:fldCharType="separate"/>
      </w:r>
      <w:r w:rsidRPr="00BA3075">
        <w:rPr>
          <w:b/>
          <w:bCs/>
        </w:rPr>
        <w:t>Observation 4:</w:t>
      </w:r>
      <w:r w:rsidRPr="00BA3075">
        <w:rPr>
          <w:b/>
          <w:bCs/>
        </w:rPr>
        <w:fldChar w:fldCharType="end"/>
      </w:r>
      <w:r w:rsidRPr="00BA3075">
        <w:rPr>
          <w:b/>
          <w:bCs/>
        </w:rPr>
        <w:fldChar w:fldCharType="begin"/>
      </w:r>
      <w:r w:rsidRPr="00BA3075">
        <w:rPr>
          <w:b/>
          <w:bCs/>
        </w:rPr>
        <w:instrText xml:space="preserve"> REF _Ref71586251 \h </w:instrText>
      </w:r>
      <w:r w:rsidR="008607FF">
        <w:rPr>
          <w:b/>
          <w:bCs/>
        </w:rPr>
        <w:instrText xml:space="preserve"> \* MERGEFORMAT </w:instrText>
      </w:r>
      <w:r w:rsidRPr="00BA3075">
        <w:rPr>
          <w:b/>
          <w:bCs/>
        </w:rPr>
      </w:r>
      <w:r w:rsidRPr="00BA3075">
        <w:rPr>
          <w:b/>
          <w:bCs/>
        </w:rPr>
        <w:fldChar w:fldCharType="separate"/>
      </w:r>
      <w:r w:rsidRPr="008607FF">
        <w:rPr>
          <w:rFonts w:eastAsia="Times New Roman"/>
          <w:b/>
          <w:bCs/>
          <w:lang w:val="en-GB"/>
        </w:rPr>
        <w:t>The IAB-node does not need to be configured with the number of bearers aggregated in the BH RLC channel, either from configuration or from specific BAP packets, since it is visible to IAB-node if UE bearer ID is added in the BAP header</w:t>
      </w:r>
      <w:r w:rsidRPr="008607FF">
        <w:rPr>
          <w:rFonts w:eastAsia="Times New Roman"/>
          <w:b/>
          <w:bCs/>
        </w:rPr>
        <w:t>.</w:t>
      </w:r>
      <w:r w:rsidRPr="00BA3075">
        <w:rPr>
          <w:b/>
          <w:bCs/>
        </w:rPr>
        <w:fldChar w:fldCharType="end"/>
      </w:r>
    </w:p>
    <w:p w14:paraId="75BE7552" w14:textId="5A0CC60A" w:rsidR="008607FF" w:rsidRPr="00BA3075" w:rsidRDefault="00534C76" w:rsidP="003300FF">
      <w:pPr>
        <w:rPr>
          <w:b/>
          <w:bCs/>
        </w:rPr>
      </w:pPr>
      <w:r w:rsidRPr="00BA3075">
        <w:rPr>
          <w:b/>
          <w:bCs/>
        </w:rPr>
        <w:fldChar w:fldCharType="begin"/>
      </w:r>
      <w:r w:rsidRPr="00BA3075">
        <w:rPr>
          <w:b/>
          <w:bCs/>
        </w:rPr>
        <w:instrText xml:space="preserve"> REF _Ref71586215 \r \h </w:instrText>
      </w:r>
      <w:r w:rsidR="008607FF">
        <w:rPr>
          <w:b/>
          <w:bCs/>
        </w:rPr>
        <w:instrText xml:space="preserve"> \* MERGEFORMAT </w:instrText>
      </w:r>
      <w:r w:rsidRPr="00BA3075">
        <w:rPr>
          <w:b/>
          <w:bCs/>
        </w:rPr>
      </w:r>
      <w:r w:rsidRPr="00BA3075">
        <w:rPr>
          <w:b/>
          <w:bCs/>
        </w:rPr>
        <w:fldChar w:fldCharType="separate"/>
      </w:r>
      <w:r w:rsidRPr="00BA3075">
        <w:rPr>
          <w:b/>
          <w:bCs/>
        </w:rPr>
        <w:t>Observation 5:</w:t>
      </w:r>
      <w:r w:rsidRPr="00BA3075">
        <w:rPr>
          <w:b/>
          <w:bCs/>
        </w:rPr>
        <w:fldChar w:fldCharType="end"/>
      </w:r>
      <w:r w:rsidRPr="00BA3075">
        <w:rPr>
          <w:b/>
          <w:bCs/>
        </w:rPr>
        <w:fldChar w:fldCharType="begin"/>
      </w:r>
      <w:r w:rsidRPr="00BA3075">
        <w:rPr>
          <w:b/>
          <w:bCs/>
        </w:rPr>
        <w:instrText xml:space="preserve"> REF _Ref71586215 \h </w:instrText>
      </w:r>
      <w:r w:rsidR="008607FF">
        <w:rPr>
          <w:b/>
          <w:bCs/>
        </w:rPr>
        <w:instrText xml:space="preserve"> \* MERGEFORMAT </w:instrText>
      </w:r>
      <w:r w:rsidRPr="00BA3075">
        <w:rPr>
          <w:b/>
          <w:bCs/>
        </w:rPr>
      </w:r>
      <w:r w:rsidRPr="00BA3075">
        <w:rPr>
          <w:b/>
          <w:bCs/>
        </w:rPr>
        <w:fldChar w:fldCharType="separate"/>
      </w:r>
      <w:r w:rsidRPr="008607FF">
        <w:rPr>
          <w:rFonts w:eastAsia="Times New Roman"/>
          <w:b/>
          <w:bCs/>
        </w:rPr>
        <w:t>Compared with adding timestamp and remaining delay budget, hop count in the BAP header is more straightforward.</w:t>
      </w:r>
      <w:r w:rsidRPr="00BA3075">
        <w:rPr>
          <w:b/>
          <w:bCs/>
        </w:rPr>
        <w:fldChar w:fldCharType="end"/>
      </w:r>
    </w:p>
    <w:p w14:paraId="0E7C6017" w14:textId="7094F287" w:rsidR="008607FF" w:rsidRPr="00BA3075" w:rsidRDefault="00534C76" w:rsidP="003300FF">
      <w:pPr>
        <w:rPr>
          <w:b/>
          <w:bCs/>
        </w:rPr>
      </w:pPr>
      <w:r w:rsidRPr="00BA3075">
        <w:rPr>
          <w:b/>
          <w:bCs/>
        </w:rPr>
        <w:fldChar w:fldCharType="begin"/>
      </w:r>
      <w:r w:rsidRPr="00BA3075">
        <w:rPr>
          <w:b/>
          <w:bCs/>
        </w:rPr>
        <w:instrText xml:space="preserve"> REF _Ref53497515 \r \h </w:instrText>
      </w:r>
      <w:r w:rsidR="008607FF">
        <w:rPr>
          <w:b/>
          <w:bCs/>
        </w:rPr>
        <w:instrText xml:space="preserve"> \* MERGEFORMAT </w:instrText>
      </w:r>
      <w:r w:rsidRPr="00BA3075">
        <w:rPr>
          <w:b/>
          <w:bCs/>
        </w:rPr>
      </w:r>
      <w:r w:rsidRPr="00BA3075">
        <w:rPr>
          <w:b/>
          <w:bCs/>
        </w:rPr>
        <w:fldChar w:fldCharType="separate"/>
      </w:r>
      <w:r w:rsidRPr="00BA3075">
        <w:rPr>
          <w:b/>
          <w:bCs/>
        </w:rPr>
        <w:t>Proposal 3:</w:t>
      </w:r>
      <w:r w:rsidRPr="00BA3075">
        <w:rPr>
          <w:b/>
          <w:bCs/>
        </w:rPr>
        <w:fldChar w:fldCharType="end"/>
      </w:r>
      <w:r w:rsidRPr="00BA3075">
        <w:rPr>
          <w:b/>
          <w:bCs/>
        </w:rPr>
        <w:fldChar w:fldCharType="begin"/>
      </w:r>
      <w:r w:rsidRPr="00BA3075">
        <w:rPr>
          <w:b/>
          <w:bCs/>
        </w:rPr>
        <w:instrText xml:space="preserve"> REF _Ref53497515 \h </w:instrText>
      </w:r>
      <w:r w:rsidR="008607FF">
        <w:rPr>
          <w:b/>
          <w:bCs/>
        </w:rPr>
        <w:instrText xml:space="preserve"> \* MERGEFORMAT </w:instrText>
      </w:r>
      <w:r w:rsidRPr="00BA3075">
        <w:rPr>
          <w:b/>
          <w:bCs/>
        </w:rPr>
      </w:r>
      <w:r w:rsidRPr="00BA3075">
        <w:rPr>
          <w:b/>
          <w:bCs/>
        </w:rPr>
        <w:fldChar w:fldCharType="separate"/>
      </w:r>
      <w:r w:rsidRPr="008607FF">
        <w:rPr>
          <w:b/>
          <w:bCs/>
          <w:lang w:val="en-GB"/>
        </w:rPr>
        <w:t>To solve IL-1, add hop count of the routing path in the BAP header to enable latency optimization for fairness scheduling.</w:t>
      </w:r>
      <w:r w:rsidRPr="00BA3075">
        <w:rPr>
          <w:b/>
          <w:bCs/>
        </w:rPr>
        <w:fldChar w:fldCharType="end"/>
      </w:r>
    </w:p>
    <w:p w14:paraId="282F2CA1" w14:textId="4AD4FE42" w:rsidR="008607FF" w:rsidRPr="00BA3075" w:rsidRDefault="008607FF" w:rsidP="003300FF">
      <w:pPr>
        <w:rPr>
          <w:b/>
          <w:bCs/>
        </w:rPr>
      </w:pPr>
      <w:r w:rsidRPr="00BA3075">
        <w:rPr>
          <w:b/>
          <w:bCs/>
        </w:rPr>
        <w:fldChar w:fldCharType="begin"/>
      </w:r>
      <w:r w:rsidRPr="00BA3075">
        <w:rPr>
          <w:b/>
          <w:bCs/>
        </w:rPr>
        <w:instrText xml:space="preserve"> REF _Ref78999853 \r \h </w:instrText>
      </w:r>
      <w:r>
        <w:rPr>
          <w:b/>
          <w:bCs/>
        </w:rPr>
        <w:instrText xml:space="preserve"> \* MERGEFORMAT </w:instrText>
      </w:r>
      <w:r w:rsidRPr="00BA3075">
        <w:rPr>
          <w:b/>
          <w:bCs/>
        </w:rPr>
      </w:r>
      <w:r w:rsidRPr="00BA3075">
        <w:rPr>
          <w:b/>
          <w:bCs/>
        </w:rPr>
        <w:fldChar w:fldCharType="separate"/>
      </w:r>
      <w:r w:rsidRPr="00BA3075">
        <w:rPr>
          <w:b/>
          <w:bCs/>
        </w:rPr>
        <w:t>Proposal 4:</w:t>
      </w:r>
      <w:r w:rsidRPr="00BA3075">
        <w:rPr>
          <w:b/>
          <w:bCs/>
        </w:rPr>
        <w:fldChar w:fldCharType="end"/>
      </w:r>
      <w:r w:rsidRPr="00BA3075">
        <w:rPr>
          <w:b/>
          <w:bCs/>
        </w:rPr>
        <w:fldChar w:fldCharType="begin"/>
      </w:r>
      <w:r w:rsidRPr="00BA3075">
        <w:rPr>
          <w:b/>
          <w:bCs/>
        </w:rPr>
        <w:instrText xml:space="preserve"> REF _Ref78999853 \h </w:instrText>
      </w:r>
      <w:r>
        <w:rPr>
          <w:b/>
          <w:bCs/>
        </w:rPr>
        <w:instrText xml:space="preserve"> \* MERGEFORMAT </w:instrText>
      </w:r>
      <w:r w:rsidRPr="00BA3075">
        <w:rPr>
          <w:b/>
          <w:bCs/>
        </w:rPr>
      </w:r>
      <w:r w:rsidRPr="00BA3075">
        <w:rPr>
          <w:b/>
          <w:bCs/>
        </w:rPr>
        <w:fldChar w:fldCharType="separate"/>
      </w:r>
      <w:r w:rsidRPr="008607FF">
        <w:rPr>
          <w:b/>
          <w:bCs/>
          <w:lang w:val="en-GB"/>
        </w:rPr>
        <w:t>To solve IL-1, IAB-node is configured with downstream and upstream number of hops per destination to enable latency optimization for fairness scheduling.</w:t>
      </w:r>
      <w:r w:rsidRPr="00BA3075">
        <w:rPr>
          <w:b/>
          <w:bCs/>
        </w:rPr>
        <w:fldChar w:fldCharType="end"/>
      </w:r>
    </w:p>
    <w:p w14:paraId="280D32FE" w14:textId="537AEEE7" w:rsidR="008607FF" w:rsidRPr="00BA3075" w:rsidRDefault="008607FF" w:rsidP="003300FF">
      <w:pPr>
        <w:rPr>
          <w:b/>
          <w:bCs/>
        </w:rPr>
      </w:pPr>
      <w:r w:rsidRPr="00BA3075">
        <w:rPr>
          <w:b/>
          <w:bCs/>
        </w:rPr>
        <w:lastRenderedPageBreak/>
        <w:fldChar w:fldCharType="begin"/>
      </w:r>
      <w:r w:rsidRPr="00BA3075">
        <w:rPr>
          <w:b/>
          <w:bCs/>
        </w:rPr>
        <w:instrText xml:space="preserve"> REF _Ref53497629 \r \h </w:instrText>
      </w:r>
      <w:r>
        <w:rPr>
          <w:b/>
          <w:bCs/>
        </w:rPr>
        <w:instrText xml:space="preserve"> \* MERGEFORMAT </w:instrText>
      </w:r>
      <w:r w:rsidRPr="00BA3075">
        <w:rPr>
          <w:b/>
          <w:bCs/>
        </w:rPr>
      </w:r>
      <w:r w:rsidRPr="00BA3075">
        <w:rPr>
          <w:b/>
          <w:bCs/>
        </w:rPr>
        <w:fldChar w:fldCharType="separate"/>
      </w:r>
      <w:r w:rsidRPr="00BA3075">
        <w:rPr>
          <w:b/>
          <w:bCs/>
        </w:rPr>
        <w:t>Proposal 5:</w:t>
      </w:r>
      <w:r w:rsidRPr="00BA3075">
        <w:rPr>
          <w:b/>
          <w:bCs/>
        </w:rPr>
        <w:fldChar w:fldCharType="end"/>
      </w:r>
      <w:r w:rsidRPr="00BA3075">
        <w:rPr>
          <w:b/>
          <w:bCs/>
        </w:rPr>
        <w:fldChar w:fldCharType="begin"/>
      </w:r>
      <w:r w:rsidRPr="00BA3075">
        <w:rPr>
          <w:b/>
          <w:bCs/>
        </w:rPr>
        <w:instrText xml:space="preserve"> REF _Ref53497629 \h </w:instrText>
      </w:r>
      <w:r>
        <w:rPr>
          <w:b/>
          <w:bCs/>
        </w:rPr>
        <w:instrText xml:space="preserve"> \* MERGEFORMAT </w:instrText>
      </w:r>
      <w:r w:rsidRPr="00BA3075">
        <w:rPr>
          <w:b/>
          <w:bCs/>
        </w:rPr>
      </w:r>
      <w:r w:rsidRPr="00BA3075">
        <w:rPr>
          <w:b/>
          <w:bCs/>
        </w:rPr>
        <w:fldChar w:fldCharType="separate"/>
      </w:r>
      <w:r w:rsidRPr="008607FF">
        <w:rPr>
          <w:b/>
          <w:bCs/>
        </w:rPr>
        <w:t>Hop-by-hop flow control feedback for upstream traffic is introduced.</w:t>
      </w:r>
      <w:r w:rsidRPr="00BA3075">
        <w:rPr>
          <w:b/>
          <w:bCs/>
        </w:rPr>
        <w:fldChar w:fldCharType="end"/>
      </w:r>
    </w:p>
    <w:p w14:paraId="0767A72C" w14:textId="657566D9" w:rsidR="008607FF" w:rsidRPr="00BA3075" w:rsidRDefault="008607FF" w:rsidP="003300FF">
      <w:pPr>
        <w:rPr>
          <w:b/>
          <w:bCs/>
        </w:rPr>
      </w:pPr>
      <w:r w:rsidRPr="00BA3075">
        <w:rPr>
          <w:b/>
          <w:bCs/>
        </w:rPr>
        <w:fldChar w:fldCharType="begin"/>
      </w:r>
      <w:r w:rsidRPr="00BA3075">
        <w:rPr>
          <w:b/>
          <w:bCs/>
        </w:rPr>
        <w:instrText xml:space="preserve"> REF _Ref53497632 \r \h </w:instrText>
      </w:r>
      <w:r>
        <w:rPr>
          <w:b/>
          <w:bCs/>
        </w:rPr>
        <w:instrText xml:space="preserve"> \* MERGEFORMAT </w:instrText>
      </w:r>
      <w:r w:rsidRPr="00BA3075">
        <w:rPr>
          <w:b/>
          <w:bCs/>
        </w:rPr>
      </w:r>
      <w:r w:rsidRPr="00BA3075">
        <w:rPr>
          <w:b/>
          <w:bCs/>
        </w:rPr>
        <w:fldChar w:fldCharType="separate"/>
      </w:r>
      <w:r w:rsidRPr="00BA3075">
        <w:rPr>
          <w:b/>
          <w:bCs/>
        </w:rPr>
        <w:t>Proposal 6:</w:t>
      </w:r>
      <w:r w:rsidRPr="00BA3075">
        <w:rPr>
          <w:b/>
          <w:bCs/>
        </w:rPr>
        <w:fldChar w:fldCharType="end"/>
      </w:r>
      <w:r w:rsidRPr="00BA3075">
        <w:rPr>
          <w:b/>
          <w:bCs/>
        </w:rPr>
        <w:fldChar w:fldCharType="begin"/>
      </w:r>
      <w:r w:rsidRPr="00BA3075">
        <w:rPr>
          <w:b/>
          <w:bCs/>
        </w:rPr>
        <w:instrText xml:space="preserve"> REF _Ref53497632 \h </w:instrText>
      </w:r>
      <w:r>
        <w:rPr>
          <w:b/>
          <w:bCs/>
        </w:rPr>
        <w:instrText xml:space="preserve"> \* MERGEFORMAT </w:instrText>
      </w:r>
      <w:r w:rsidRPr="00BA3075">
        <w:rPr>
          <w:b/>
          <w:bCs/>
        </w:rPr>
      </w:r>
      <w:r w:rsidRPr="00BA3075">
        <w:rPr>
          <w:b/>
          <w:bCs/>
        </w:rPr>
        <w:fldChar w:fldCharType="separate"/>
      </w:r>
      <w:r w:rsidRPr="008607FF">
        <w:rPr>
          <w:b/>
          <w:bCs/>
        </w:rPr>
        <w:t>Hop-by-hop flow control feedback for upstream can be within the BAP layer and can be based on the design for downstream flow control feedback.</w:t>
      </w:r>
      <w:r w:rsidRPr="00BA3075">
        <w:rPr>
          <w:b/>
          <w:bCs/>
        </w:rPr>
        <w:fldChar w:fldCharType="end"/>
      </w:r>
    </w:p>
    <w:p w14:paraId="3C54D108" w14:textId="2652F12F" w:rsidR="008607FF" w:rsidRPr="00BA3075" w:rsidRDefault="008607FF" w:rsidP="003300FF">
      <w:pPr>
        <w:rPr>
          <w:b/>
          <w:bCs/>
        </w:rPr>
      </w:pPr>
      <w:r w:rsidRPr="00BA3075">
        <w:rPr>
          <w:b/>
          <w:bCs/>
        </w:rPr>
        <w:fldChar w:fldCharType="begin"/>
      </w:r>
      <w:r w:rsidRPr="00BA3075">
        <w:rPr>
          <w:b/>
          <w:bCs/>
        </w:rPr>
        <w:instrText xml:space="preserve"> REF _Ref61594057 \r \h </w:instrText>
      </w:r>
      <w:r>
        <w:rPr>
          <w:b/>
          <w:bCs/>
        </w:rPr>
        <w:instrText xml:space="preserve"> \* MERGEFORMAT </w:instrText>
      </w:r>
      <w:r w:rsidRPr="00BA3075">
        <w:rPr>
          <w:b/>
          <w:bCs/>
        </w:rPr>
      </w:r>
      <w:r w:rsidRPr="00BA3075">
        <w:rPr>
          <w:b/>
          <w:bCs/>
        </w:rPr>
        <w:fldChar w:fldCharType="separate"/>
      </w:r>
      <w:r w:rsidRPr="00BA3075">
        <w:rPr>
          <w:b/>
          <w:bCs/>
        </w:rPr>
        <w:t>Observation 6:</w:t>
      </w:r>
      <w:r w:rsidRPr="00BA3075">
        <w:rPr>
          <w:b/>
          <w:bCs/>
        </w:rPr>
        <w:fldChar w:fldCharType="end"/>
      </w:r>
      <w:r w:rsidRPr="00BA3075">
        <w:rPr>
          <w:b/>
          <w:bCs/>
        </w:rPr>
        <w:fldChar w:fldCharType="begin"/>
      </w:r>
      <w:r w:rsidRPr="00BA3075">
        <w:rPr>
          <w:b/>
          <w:bCs/>
        </w:rPr>
        <w:instrText xml:space="preserve"> REF _Ref61594057 \h </w:instrText>
      </w:r>
      <w:r>
        <w:rPr>
          <w:b/>
          <w:bCs/>
        </w:rPr>
        <w:instrText xml:space="preserve"> \* MERGEFORMAT </w:instrText>
      </w:r>
      <w:r w:rsidRPr="00BA3075">
        <w:rPr>
          <w:b/>
          <w:bCs/>
        </w:rPr>
      </w:r>
      <w:r w:rsidRPr="00BA3075">
        <w:rPr>
          <w:b/>
          <w:bCs/>
        </w:rPr>
        <w:fldChar w:fldCharType="separate"/>
      </w:r>
      <w:r w:rsidRPr="008607FF">
        <w:rPr>
          <w:rFonts w:eastAsia="Times New Roman"/>
          <w:b/>
          <w:bCs/>
        </w:rPr>
        <w:t>Inaccurate buffer size report from pre-emptive BSR triggered by received BSR and UL grant leads to excess resource allocation to the MT of IAB node.</w:t>
      </w:r>
      <w:r w:rsidRPr="00BA3075">
        <w:rPr>
          <w:b/>
          <w:bCs/>
        </w:rPr>
        <w:fldChar w:fldCharType="end"/>
      </w:r>
    </w:p>
    <w:p w14:paraId="72F36EE8" w14:textId="0487EFA1" w:rsidR="008607FF" w:rsidRPr="00BA3075" w:rsidRDefault="008607FF" w:rsidP="003300FF">
      <w:pPr>
        <w:rPr>
          <w:b/>
          <w:bCs/>
        </w:rPr>
      </w:pPr>
      <w:r w:rsidRPr="00BA3075">
        <w:rPr>
          <w:b/>
          <w:bCs/>
        </w:rPr>
        <w:fldChar w:fldCharType="begin"/>
      </w:r>
      <w:r w:rsidRPr="00BA3075">
        <w:rPr>
          <w:b/>
          <w:bCs/>
        </w:rPr>
        <w:instrText xml:space="preserve"> REF _Ref61594538 \r \h </w:instrText>
      </w:r>
      <w:r>
        <w:rPr>
          <w:b/>
          <w:bCs/>
        </w:rPr>
        <w:instrText xml:space="preserve"> \* MERGEFORMAT </w:instrText>
      </w:r>
      <w:r w:rsidRPr="00BA3075">
        <w:rPr>
          <w:b/>
          <w:bCs/>
        </w:rPr>
      </w:r>
      <w:r w:rsidRPr="00BA3075">
        <w:rPr>
          <w:b/>
          <w:bCs/>
        </w:rPr>
        <w:fldChar w:fldCharType="separate"/>
      </w:r>
      <w:r w:rsidRPr="00BA3075">
        <w:rPr>
          <w:b/>
          <w:bCs/>
        </w:rPr>
        <w:t>Proposal 7:</w:t>
      </w:r>
      <w:r w:rsidRPr="00BA3075">
        <w:rPr>
          <w:b/>
          <w:bCs/>
        </w:rPr>
        <w:fldChar w:fldCharType="end"/>
      </w:r>
      <w:r w:rsidRPr="00BA3075">
        <w:rPr>
          <w:b/>
          <w:bCs/>
        </w:rPr>
        <w:fldChar w:fldCharType="begin"/>
      </w:r>
      <w:r w:rsidRPr="00BA3075">
        <w:rPr>
          <w:b/>
          <w:bCs/>
        </w:rPr>
        <w:instrText xml:space="preserve"> REF _Ref61594538 \h </w:instrText>
      </w:r>
      <w:r>
        <w:rPr>
          <w:b/>
          <w:bCs/>
        </w:rPr>
        <w:instrText xml:space="preserve"> \* MERGEFORMAT </w:instrText>
      </w:r>
      <w:r w:rsidRPr="00BA3075">
        <w:rPr>
          <w:b/>
          <w:bCs/>
        </w:rPr>
      </w:r>
      <w:r w:rsidRPr="00BA3075">
        <w:rPr>
          <w:b/>
          <w:bCs/>
        </w:rPr>
        <w:fldChar w:fldCharType="separate"/>
      </w:r>
      <w:r w:rsidRPr="008607FF">
        <w:rPr>
          <w:b/>
          <w:bCs/>
          <w:lang w:val="en-GB"/>
        </w:rPr>
        <w:t>Reduce the data volume in pre-emptive BSR if it was reported for the LCGs included in previous pre-emptive BSR.</w:t>
      </w:r>
      <w:r w:rsidRPr="00BA3075">
        <w:rPr>
          <w:b/>
          <w:bCs/>
        </w:rPr>
        <w:fldChar w:fldCharType="end"/>
      </w:r>
    </w:p>
    <w:p w14:paraId="1C8768A1" w14:textId="2751E317" w:rsidR="008607FF" w:rsidRPr="00BA3075" w:rsidRDefault="008607FF" w:rsidP="003300FF">
      <w:pPr>
        <w:rPr>
          <w:b/>
          <w:bCs/>
        </w:rPr>
      </w:pPr>
      <w:r w:rsidRPr="00BA3075">
        <w:rPr>
          <w:b/>
          <w:bCs/>
        </w:rPr>
        <w:fldChar w:fldCharType="begin"/>
      </w:r>
      <w:r w:rsidRPr="00BA3075">
        <w:rPr>
          <w:b/>
          <w:bCs/>
        </w:rPr>
        <w:instrText xml:space="preserve"> REF _Ref53497487 \r \h </w:instrText>
      </w:r>
      <w:r>
        <w:rPr>
          <w:b/>
          <w:bCs/>
        </w:rPr>
        <w:instrText xml:space="preserve"> \* MERGEFORMAT </w:instrText>
      </w:r>
      <w:r w:rsidRPr="00BA3075">
        <w:rPr>
          <w:b/>
          <w:bCs/>
        </w:rPr>
      </w:r>
      <w:r w:rsidRPr="00BA3075">
        <w:rPr>
          <w:b/>
          <w:bCs/>
        </w:rPr>
        <w:fldChar w:fldCharType="separate"/>
      </w:r>
      <w:r w:rsidRPr="00BA3075">
        <w:rPr>
          <w:b/>
          <w:bCs/>
        </w:rPr>
        <w:t>Proposal 8:</w:t>
      </w:r>
      <w:r w:rsidRPr="00BA3075">
        <w:rPr>
          <w:b/>
          <w:bCs/>
        </w:rPr>
        <w:fldChar w:fldCharType="end"/>
      </w:r>
      <w:r w:rsidRPr="00BA3075">
        <w:rPr>
          <w:b/>
          <w:bCs/>
        </w:rPr>
        <w:fldChar w:fldCharType="begin"/>
      </w:r>
      <w:r w:rsidRPr="00BA3075">
        <w:rPr>
          <w:b/>
          <w:bCs/>
        </w:rPr>
        <w:instrText xml:space="preserve"> REF _Ref53497487 \h </w:instrText>
      </w:r>
      <w:r>
        <w:rPr>
          <w:b/>
          <w:bCs/>
        </w:rPr>
        <w:instrText xml:space="preserve"> \* MERGEFORMAT </w:instrText>
      </w:r>
      <w:r w:rsidRPr="00BA3075">
        <w:rPr>
          <w:b/>
          <w:bCs/>
        </w:rPr>
      </w:r>
      <w:r w:rsidRPr="00BA3075">
        <w:rPr>
          <w:b/>
          <w:bCs/>
        </w:rPr>
        <w:fldChar w:fldCharType="separate"/>
      </w:r>
      <w:r w:rsidRPr="008607FF">
        <w:rPr>
          <w:rFonts w:eastAsia="Times New Roman"/>
          <w:b/>
          <w:bCs/>
          <w:lang w:val="en-GB"/>
        </w:rPr>
        <w:t xml:space="preserve">To solve IF-1, </w:t>
      </w:r>
      <w:r w:rsidRPr="008607FF">
        <w:rPr>
          <w:rFonts w:eastAsia="Times New Roman"/>
          <w:b/>
          <w:bCs/>
        </w:rPr>
        <w:t xml:space="preserve">QoS-based load balancing is used for balance traffic load among BH RLC channels holding UE bearers with similar QoS profile. Solutions </w:t>
      </w:r>
      <w:proofErr w:type="gramStart"/>
      <w:r w:rsidRPr="008607FF">
        <w:rPr>
          <w:rFonts w:eastAsia="Times New Roman"/>
          <w:b/>
          <w:bCs/>
        </w:rPr>
        <w:t>similar to</w:t>
      </w:r>
      <w:proofErr w:type="gramEnd"/>
      <w:r w:rsidRPr="008607FF">
        <w:rPr>
          <w:rFonts w:eastAsia="Times New Roman"/>
          <w:b/>
          <w:bCs/>
        </w:rPr>
        <w:t xml:space="preserve"> that for Mobility load balancing for SON can be used as baseline.</w:t>
      </w:r>
      <w:r w:rsidRPr="00BA3075">
        <w:rPr>
          <w:b/>
          <w:bCs/>
        </w:rPr>
        <w:fldChar w:fldCharType="end"/>
      </w:r>
    </w:p>
    <w:p w14:paraId="179A94D3" w14:textId="0830949F" w:rsidR="00B03DEE" w:rsidRPr="00BA3075" w:rsidRDefault="008607FF" w:rsidP="003300FF">
      <w:pPr>
        <w:rPr>
          <w:b/>
          <w:bCs/>
        </w:rPr>
      </w:pPr>
      <w:r w:rsidRPr="00BA3075">
        <w:rPr>
          <w:b/>
          <w:bCs/>
        </w:rPr>
        <w:fldChar w:fldCharType="begin"/>
      </w:r>
      <w:r w:rsidRPr="00BA3075">
        <w:rPr>
          <w:b/>
          <w:bCs/>
        </w:rPr>
        <w:instrText xml:space="preserve"> REF _Ref53497505 \r \h </w:instrText>
      </w:r>
      <w:r>
        <w:rPr>
          <w:b/>
          <w:bCs/>
        </w:rPr>
        <w:instrText xml:space="preserve"> \* MERGEFORMAT </w:instrText>
      </w:r>
      <w:r w:rsidRPr="00BA3075">
        <w:rPr>
          <w:b/>
          <w:bCs/>
        </w:rPr>
      </w:r>
      <w:r w:rsidRPr="00BA3075">
        <w:rPr>
          <w:b/>
          <w:bCs/>
        </w:rPr>
        <w:fldChar w:fldCharType="separate"/>
      </w:r>
      <w:r w:rsidRPr="00BA3075">
        <w:rPr>
          <w:b/>
          <w:bCs/>
        </w:rPr>
        <w:t>Proposal 9:</w:t>
      </w:r>
      <w:r w:rsidRPr="00BA3075">
        <w:rPr>
          <w:b/>
          <w:bCs/>
        </w:rPr>
        <w:fldChar w:fldCharType="end"/>
      </w:r>
      <w:r w:rsidRPr="00BA3075">
        <w:rPr>
          <w:b/>
          <w:bCs/>
        </w:rPr>
        <w:t xml:space="preserve"> </w:t>
      </w:r>
      <w:r w:rsidRPr="00BA3075">
        <w:rPr>
          <w:b/>
          <w:bCs/>
        </w:rPr>
        <w:fldChar w:fldCharType="begin"/>
      </w:r>
      <w:r w:rsidRPr="00BA3075">
        <w:rPr>
          <w:b/>
          <w:bCs/>
        </w:rPr>
        <w:instrText xml:space="preserve"> REF _Ref53497505 \h </w:instrText>
      </w:r>
      <w:r>
        <w:rPr>
          <w:b/>
          <w:bCs/>
        </w:rPr>
        <w:instrText xml:space="preserve"> \* MERGEFORMAT </w:instrText>
      </w:r>
      <w:r w:rsidRPr="00BA3075">
        <w:rPr>
          <w:b/>
          <w:bCs/>
        </w:rPr>
      </w:r>
      <w:r w:rsidRPr="00BA3075">
        <w:rPr>
          <w:b/>
          <w:bCs/>
        </w:rPr>
        <w:fldChar w:fldCharType="separate"/>
      </w:r>
      <w:r w:rsidRPr="008607FF">
        <w:rPr>
          <w:rFonts w:eastAsia="Times New Roman"/>
          <w:b/>
          <w:bCs/>
        </w:rPr>
        <w:t>To solve IF-1, load related information should be reported to IAB donor-CU per BH RLC channel.</w:t>
      </w:r>
      <w:r w:rsidRPr="00BA3075">
        <w:rPr>
          <w:b/>
          <w:bCs/>
        </w:rPr>
        <w:fldChar w:fldCharType="end"/>
      </w:r>
    </w:p>
    <w:p w14:paraId="7CB18FE7" w14:textId="77777777" w:rsidR="003300FF" w:rsidRPr="005E43A7" w:rsidRDefault="003300FF" w:rsidP="003300FF">
      <w:pPr>
        <w:pStyle w:val="Heading1"/>
      </w:pPr>
      <w:r>
        <w:t>References</w:t>
      </w:r>
    </w:p>
    <w:p w14:paraId="21974B22" w14:textId="415E753A" w:rsidR="00F30A3A" w:rsidRDefault="00F30A3A" w:rsidP="00066055">
      <w:pPr>
        <w:pStyle w:val="ListParagraph"/>
        <w:numPr>
          <w:ilvl w:val="0"/>
          <w:numId w:val="2"/>
        </w:numPr>
        <w:rPr>
          <w:rFonts w:ascii="Times New Roman" w:hAnsi="Times New Roman"/>
          <w:sz w:val="20"/>
          <w:szCs w:val="20"/>
        </w:rPr>
      </w:pPr>
      <w:bookmarkStart w:id="20" w:name="_Ref70842791"/>
      <w:r>
        <w:rPr>
          <w:rFonts w:ascii="Times New Roman" w:hAnsi="Times New Roman"/>
          <w:sz w:val="20"/>
          <w:szCs w:val="20"/>
        </w:rPr>
        <w:t>R2-2104535, Summary of Rel-17 IAB contributions on fairness, latency and congestion, Qualcomm</w:t>
      </w:r>
      <w:bookmarkEnd w:id="20"/>
    </w:p>
    <w:p w14:paraId="5FC40FE1" w14:textId="4583776D" w:rsidR="001D0D65" w:rsidRDefault="001D0D65" w:rsidP="00066055">
      <w:pPr>
        <w:pStyle w:val="ListParagraph"/>
        <w:numPr>
          <w:ilvl w:val="0"/>
          <w:numId w:val="2"/>
        </w:numPr>
        <w:rPr>
          <w:rFonts w:ascii="Times New Roman" w:hAnsi="Times New Roman"/>
          <w:sz w:val="20"/>
          <w:szCs w:val="20"/>
        </w:rPr>
      </w:pPr>
      <w:bookmarkStart w:id="21" w:name="_Ref78752906"/>
      <w:r>
        <w:rPr>
          <w:rFonts w:ascii="Times New Roman" w:hAnsi="Times New Roman"/>
          <w:sz w:val="20"/>
          <w:szCs w:val="20"/>
        </w:rPr>
        <w:t>R2-210</w:t>
      </w:r>
      <w:r w:rsidR="00D44CE4">
        <w:rPr>
          <w:rFonts w:ascii="Times New Roman" w:hAnsi="Times New Roman"/>
          <w:sz w:val="20"/>
          <w:szCs w:val="20"/>
        </w:rPr>
        <w:t>7290</w:t>
      </w:r>
      <w:r>
        <w:rPr>
          <w:rFonts w:ascii="Times New Roman" w:hAnsi="Times New Roman"/>
          <w:sz w:val="20"/>
          <w:szCs w:val="20"/>
        </w:rPr>
        <w:t xml:space="preserve">, </w:t>
      </w:r>
      <w:r w:rsidRPr="001D0D65">
        <w:rPr>
          <w:rFonts w:ascii="Times New Roman" w:hAnsi="Times New Roman"/>
          <w:sz w:val="20"/>
          <w:szCs w:val="20"/>
        </w:rPr>
        <w:t>IAB-node dual connection, RLF and local rerouting</w:t>
      </w:r>
      <w:r>
        <w:rPr>
          <w:rFonts w:ascii="Times New Roman" w:hAnsi="Times New Roman"/>
          <w:sz w:val="20"/>
          <w:szCs w:val="20"/>
        </w:rPr>
        <w:t>, Intel</w:t>
      </w:r>
      <w:bookmarkEnd w:id="21"/>
    </w:p>
    <w:sectPr w:rsidR="001D0D6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480E58" w14:textId="77777777" w:rsidR="00F5143A" w:rsidRDefault="00F5143A" w:rsidP="003F5463">
      <w:pPr>
        <w:spacing w:after="0"/>
      </w:pPr>
      <w:r>
        <w:separator/>
      </w:r>
    </w:p>
  </w:endnote>
  <w:endnote w:type="continuationSeparator" w:id="0">
    <w:p w14:paraId="5974E52E" w14:textId="77777777" w:rsidR="00F5143A" w:rsidRDefault="00F5143A" w:rsidP="003F5463">
      <w:pPr>
        <w:spacing w:after="0"/>
      </w:pPr>
      <w:r>
        <w:continuationSeparator/>
      </w:r>
    </w:p>
  </w:endnote>
  <w:endnote w:type="continuationNotice" w:id="1">
    <w:p w14:paraId="4651CF43" w14:textId="77777777" w:rsidR="00F5143A" w:rsidRDefault="00F514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D5B579" w14:textId="77777777" w:rsidR="00F5143A" w:rsidRDefault="00F5143A" w:rsidP="003F5463">
      <w:pPr>
        <w:spacing w:after="0"/>
      </w:pPr>
      <w:r>
        <w:separator/>
      </w:r>
    </w:p>
  </w:footnote>
  <w:footnote w:type="continuationSeparator" w:id="0">
    <w:p w14:paraId="5D82ADA7" w14:textId="77777777" w:rsidR="00F5143A" w:rsidRDefault="00F5143A" w:rsidP="003F5463">
      <w:pPr>
        <w:spacing w:after="0"/>
      </w:pPr>
      <w:r>
        <w:continuationSeparator/>
      </w:r>
    </w:p>
  </w:footnote>
  <w:footnote w:type="continuationNotice" w:id="1">
    <w:p w14:paraId="1412ECC0" w14:textId="77777777" w:rsidR="00F5143A" w:rsidRDefault="00F514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315634"/>
    <w:multiLevelType w:val="hybridMultilevel"/>
    <w:tmpl w:val="6FB4ACFE"/>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53162D2F"/>
    <w:multiLevelType w:val="multilevel"/>
    <w:tmpl w:val="28AEE32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5836F19"/>
    <w:multiLevelType w:val="hybridMultilevel"/>
    <w:tmpl w:val="DE0E4318"/>
    <w:lvl w:ilvl="0" w:tplc="905489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8"/>
  </w:num>
  <w:num w:numId="4">
    <w:abstractNumId w:val="4"/>
  </w:num>
  <w:num w:numId="5">
    <w:abstractNumId w:val="1"/>
  </w:num>
  <w:num w:numId="6">
    <w:abstractNumId w:val="5"/>
  </w:num>
  <w:num w:numId="7">
    <w:abstractNumId w:val="9"/>
  </w:num>
  <w:num w:numId="8">
    <w:abstractNumId w:val="3"/>
  </w:num>
  <w:num w:numId="9">
    <w:abstractNumId w:val="10"/>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AC4"/>
    <w:rsid w:val="0000125F"/>
    <w:rsid w:val="000014D2"/>
    <w:rsid w:val="000022F6"/>
    <w:rsid w:val="00002596"/>
    <w:rsid w:val="00002C63"/>
    <w:rsid w:val="00003B22"/>
    <w:rsid w:val="00004934"/>
    <w:rsid w:val="00005C48"/>
    <w:rsid w:val="000108E4"/>
    <w:rsid w:val="00010B5E"/>
    <w:rsid w:val="00014834"/>
    <w:rsid w:val="00015C7C"/>
    <w:rsid w:val="000168D9"/>
    <w:rsid w:val="000203CA"/>
    <w:rsid w:val="0002154F"/>
    <w:rsid w:val="00021DA5"/>
    <w:rsid w:val="00023E67"/>
    <w:rsid w:val="000250F0"/>
    <w:rsid w:val="000254EB"/>
    <w:rsid w:val="00025AD3"/>
    <w:rsid w:val="000261AC"/>
    <w:rsid w:val="00026AE4"/>
    <w:rsid w:val="00026DF1"/>
    <w:rsid w:val="0002709D"/>
    <w:rsid w:val="00027DEE"/>
    <w:rsid w:val="00027E06"/>
    <w:rsid w:val="00030E36"/>
    <w:rsid w:val="000325AA"/>
    <w:rsid w:val="00034308"/>
    <w:rsid w:val="00034CC6"/>
    <w:rsid w:val="00035B73"/>
    <w:rsid w:val="00036898"/>
    <w:rsid w:val="000400D1"/>
    <w:rsid w:val="000410CA"/>
    <w:rsid w:val="00042121"/>
    <w:rsid w:val="00042191"/>
    <w:rsid w:val="0004330C"/>
    <w:rsid w:val="00043327"/>
    <w:rsid w:val="00045CAA"/>
    <w:rsid w:val="00047F3B"/>
    <w:rsid w:val="00050E0F"/>
    <w:rsid w:val="000535AA"/>
    <w:rsid w:val="00053789"/>
    <w:rsid w:val="000548A0"/>
    <w:rsid w:val="000558DA"/>
    <w:rsid w:val="0005603C"/>
    <w:rsid w:val="00063910"/>
    <w:rsid w:val="00066055"/>
    <w:rsid w:val="00067E74"/>
    <w:rsid w:val="00067F5A"/>
    <w:rsid w:val="00070F23"/>
    <w:rsid w:val="000716A7"/>
    <w:rsid w:val="000739F4"/>
    <w:rsid w:val="00074A3E"/>
    <w:rsid w:val="000752E0"/>
    <w:rsid w:val="00075D59"/>
    <w:rsid w:val="00083DC4"/>
    <w:rsid w:val="000859B1"/>
    <w:rsid w:val="00085F35"/>
    <w:rsid w:val="000873AD"/>
    <w:rsid w:val="0009064A"/>
    <w:rsid w:val="00094AC7"/>
    <w:rsid w:val="000A0319"/>
    <w:rsid w:val="000A3244"/>
    <w:rsid w:val="000A3770"/>
    <w:rsid w:val="000A3D0D"/>
    <w:rsid w:val="000A636A"/>
    <w:rsid w:val="000B33FA"/>
    <w:rsid w:val="000B6743"/>
    <w:rsid w:val="000B689E"/>
    <w:rsid w:val="000B6AF3"/>
    <w:rsid w:val="000B7243"/>
    <w:rsid w:val="000B73B9"/>
    <w:rsid w:val="000B78BE"/>
    <w:rsid w:val="000C0F75"/>
    <w:rsid w:val="000C11C7"/>
    <w:rsid w:val="000C3E6C"/>
    <w:rsid w:val="000C5A66"/>
    <w:rsid w:val="000C638B"/>
    <w:rsid w:val="000C7A1D"/>
    <w:rsid w:val="000D03D2"/>
    <w:rsid w:val="000D2693"/>
    <w:rsid w:val="000D2FFC"/>
    <w:rsid w:val="000D3B23"/>
    <w:rsid w:val="000D4D55"/>
    <w:rsid w:val="000D60EB"/>
    <w:rsid w:val="000D64EA"/>
    <w:rsid w:val="000D683F"/>
    <w:rsid w:val="000D6D77"/>
    <w:rsid w:val="000E372B"/>
    <w:rsid w:val="000E6B99"/>
    <w:rsid w:val="000E7553"/>
    <w:rsid w:val="000F0853"/>
    <w:rsid w:val="000F0E90"/>
    <w:rsid w:val="000F284E"/>
    <w:rsid w:val="000F2D72"/>
    <w:rsid w:val="000F6122"/>
    <w:rsid w:val="000F61B2"/>
    <w:rsid w:val="000F6749"/>
    <w:rsid w:val="000F71A2"/>
    <w:rsid w:val="00100C86"/>
    <w:rsid w:val="001040DA"/>
    <w:rsid w:val="00106A18"/>
    <w:rsid w:val="00111A47"/>
    <w:rsid w:val="00111B8E"/>
    <w:rsid w:val="00112AA9"/>
    <w:rsid w:val="0011441B"/>
    <w:rsid w:val="00114A85"/>
    <w:rsid w:val="00115922"/>
    <w:rsid w:val="00115F17"/>
    <w:rsid w:val="00116276"/>
    <w:rsid w:val="00117F1A"/>
    <w:rsid w:val="00121952"/>
    <w:rsid w:val="00121994"/>
    <w:rsid w:val="001240F9"/>
    <w:rsid w:val="0012700F"/>
    <w:rsid w:val="00130B22"/>
    <w:rsid w:val="00135AA2"/>
    <w:rsid w:val="001369DE"/>
    <w:rsid w:val="00136AC5"/>
    <w:rsid w:val="0014114A"/>
    <w:rsid w:val="00143700"/>
    <w:rsid w:val="00145205"/>
    <w:rsid w:val="0014528B"/>
    <w:rsid w:val="00145BC5"/>
    <w:rsid w:val="00145D74"/>
    <w:rsid w:val="001478F7"/>
    <w:rsid w:val="00147A26"/>
    <w:rsid w:val="0015314A"/>
    <w:rsid w:val="00155271"/>
    <w:rsid w:val="00157298"/>
    <w:rsid w:val="001576FA"/>
    <w:rsid w:val="00157CF8"/>
    <w:rsid w:val="001617B2"/>
    <w:rsid w:val="001622E2"/>
    <w:rsid w:val="00162A5C"/>
    <w:rsid w:val="001638D0"/>
    <w:rsid w:val="00164E64"/>
    <w:rsid w:val="0017235D"/>
    <w:rsid w:val="0017254F"/>
    <w:rsid w:val="00173513"/>
    <w:rsid w:val="00173FD2"/>
    <w:rsid w:val="001759F4"/>
    <w:rsid w:val="00176532"/>
    <w:rsid w:val="00176F8E"/>
    <w:rsid w:val="00177FA9"/>
    <w:rsid w:val="0018211C"/>
    <w:rsid w:val="001823B6"/>
    <w:rsid w:val="00182C1D"/>
    <w:rsid w:val="001839B7"/>
    <w:rsid w:val="00185091"/>
    <w:rsid w:val="001855D0"/>
    <w:rsid w:val="00185A19"/>
    <w:rsid w:val="00185AA9"/>
    <w:rsid w:val="00187B93"/>
    <w:rsid w:val="001918B1"/>
    <w:rsid w:val="00193FBA"/>
    <w:rsid w:val="00195C9E"/>
    <w:rsid w:val="001A439D"/>
    <w:rsid w:val="001A6EBE"/>
    <w:rsid w:val="001A7C1F"/>
    <w:rsid w:val="001B20A2"/>
    <w:rsid w:val="001B2599"/>
    <w:rsid w:val="001B25D4"/>
    <w:rsid w:val="001B379B"/>
    <w:rsid w:val="001B4E25"/>
    <w:rsid w:val="001B687C"/>
    <w:rsid w:val="001C3A79"/>
    <w:rsid w:val="001C58A1"/>
    <w:rsid w:val="001C5E7C"/>
    <w:rsid w:val="001D0D65"/>
    <w:rsid w:val="001D1A4F"/>
    <w:rsid w:val="001D2308"/>
    <w:rsid w:val="001D28AD"/>
    <w:rsid w:val="001D2E51"/>
    <w:rsid w:val="001D3434"/>
    <w:rsid w:val="001D3C59"/>
    <w:rsid w:val="001D4D02"/>
    <w:rsid w:val="001D7156"/>
    <w:rsid w:val="001E2738"/>
    <w:rsid w:val="001E4379"/>
    <w:rsid w:val="001E690C"/>
    <w:rsid w:val="001E710D"/>
    <w:rsid w:val="001E7615"/>
    <w:rsid w:val="001F062E"/>
    <w:rsid w:val="001F1709"/>
    <w:rsid w:val="001F2C8D"/>
    <w:rsid w:val="001F6953"/>
    <w:rsid w:val="001F7339"/>
    <w:rsid w:val="001F7650"/>
    <w:rsid w:val="002031C3"/>
    <w:rsid w:val="00203430"/>
    <w:rsid w:val="0020377B"/>
    <w:rsid w:val="002037FA"/>
    <w:rsid w:val="002103C2"/>
    <w:rsid w:val="00214706"/>
    <w:rsid w:val="0021555F"/>
    <w:rsid w:val="0021611C"/>
    <w:rsid w:val="002170AB"/>
    <w:rsid w:val="00217A39"/>
    <w:rsid w:val="002210FF"/>
    <w:rsid w:val="00222C41"/>
    <w:rsid w:val="00223194"/>
    <w:rsid w:val="0022365F"/>
    <w:rsid w:val="00223D86"/>
    <w:rsid w:val="00227F3B"/>
    <w:rsid w:val="002312F3"/>
    <w:rsid w:val="00233B6E"/>
    <w:rsid w:val="0023439C"/>
    <w:rsid w:val="00235AAF"/>
    <w:rsid w:val="00242620"/>
    <w:rsid w:val="00242830"/>
    <w:rsid w:val="00242DFA"/>
    <w:rsid w:val="00243CFA"/>
    <w:rsid w:val="00244A22"/>
    <w:rsid w:val="00244FCB"/>
    <w:rsid w:val="00247859"/>
    <w:rsid w:val="00247E52"/>
    <w:rsid w:val="00247EBB"/>
    <w:rsid w:val="00253DA5"/>
    <w:rsid w:val="00253F7F"/>
    <w:rsid w:val="002546D3"/>
    <w:rsid w:val="00255785"/>
    <w:rsid w:val="002573C9"/>
    <w:rsid w:val="00264427"/>
    <w:rsid w:val="00264A16"/>
    <w:rsid w:val="00265ADD"/>
    <w:rsid w:val="00265AF6"/>
    <w:rsid w:val="00267E22"/>
    <w:rsid w:val="00270E6E"/>
    <w:rsid w:val="0027126C"/>
    <w:rsid w:val="0027279B"/>
    <w:rsid w:val="00273D16"/>
    <w:rsid w:val="0027632C"/>
    <w:rsid w:val="00276702"/>
    <w:rsid w:val="00276D58"/>
    <w:rsid w:val="00280B80"/>
    <w:rsid w:val="00280EA4"/>
    <w:rsid w:val="00281215"/>
    <w:rsid w:val="002817B5"/>
    <w:rsid w:val="00283CCB"/>
    <w:rsid w:val="002859A5"/>
    <w:rsid w:val="00286D25"/>
    <w:rsid w:val="00287797"/>
    <w:rsid w:val="002877EC"/>
    <w:rsid w:val="00295301"/>
    <w:rsid w:val="00296EBE"/>
    <w:rsid w:val="002A4FE6"/>
    <w:rsid w:val="002A5966"/>
    <w:rsid w:val="002A5BA9"/>
    <w:rsid w:val="002A66F2"/>
    <w:rsid w:val="002B3752"/>
    <w:rsid w:val="002B6049"/>
    <w:rsid w:val="002B71CC"/>
    <w:rsid w:val="002C2287"/>
    <w:rsid w:val="002C4B31"/>
    <w:rsid w:val="002C5301"/>
    <w:rsid w:val="002C577E"/>
    <w:rsid w:val="002D0442"/>
    <w:rsid w:val="002D0A1F"/>
    <w:rsid w:val="002D12B4"/>
    <w:rsid w:val="002D1B33"/>
    <w:rsid w:val="002D41B5"/>
    <w:rsid w:val="002D4415"/>
    <w:rsid w:val="002D5159"/>
    <w:rsid w:val="002E03E6"/>
    <w:rsid w:val="002E2BA8"/>
    <w:rsid w:val="002E3ABB"/>
    <w:rsid w:val="002E41DC"/>
    <w:rsid w:val="002E4F43"/>
    <w:rsid w:val="002E4FDE"/>
    <w:rsid w:val="002E5BD5"/>
    <w:rsid w:val="002E6E38"/>
    <w:rsid w:val="002F0552"/>
    <w:rsid w:val="002F0802"/>
    <w:rsid w:val="002F0841"/>
    <w:rsid w:val="002F2488"/>
    <w:rsid w:val="002F40AB"/>
    <w:rsid w:val="002F5F11"/>
    <w:rsid w:val="002F69A9"/>
    <w:rsid w:val="002F6F98"/>
    <w:rsid w:val="002F7600"/>
    <w:rsid w:val="003001AF"/>
    <w:rsid w:val="00301000"/>
    <w:rsid w:val="00301BE3"/>
    <w:rsid w:val="00302ED9"/>
    <w:rsid w:val="00306A85"/>
    <w:rsid w:val="003073D2"/>
    <w:rsid w:val="00307833"/>
    <w:rsid w:val="0030793D"/>
    <w:rsid w:val="003107A0"/>
    <w:rsid w:val="00311BE4"/>
    <w:rsid w:val="00311E51"/>
    <w:rsid w:val="0031243F"/>
    <w:rsid w:val="00313DD3"/>
    <w:rsid w:val="00314CD5"/>
    <w:rsid w:val="003164AA"/>
    <w:rsid w:val="0031787E"/>
    <w:rsid w:val="0032128F"/>
    <w:rsid w:val="00323E8C"/>
    <w:rsid w:val="0032439C"/>
    <w:rsid w:val="0032679A"/>
    <w:rsid w:val="00327779"/>
    <w:rsid w:val="003300FF"/>
    <w:rsid w:val="003301AF"/>
    <w:rsid w:val="00331C3E"/>
    <w:rsid w:val="00333698"/>
    <w:rsid w:val="00334FAB"/>
    <w:rsid w:val="00336928"/>
    <w:rsid w:val="00337AAA"/>
    <w:rsid w:val="00340B76"/>
    <w:rsid w:val="0034328F"/>
    <w:rsid w:val="003436B7"/>
    <w:rsid w:val="00343A59"/>
    <w:rsid w:val="00344EB3"/>
    <w:rsid w:val="00345920"/>
    <w:rsid w:val="003467C0"/>
    <w:rsid w:val="00346EB0"/>
    <w:rsid w:val="00347232"/>
    <w:rsid w:val="00347958"/>
    <w:rsid w:val="00347B98"/>
    <w:rsid w:val="003512EB"/>
    <w:rsid w:val="00352160"/>
    <w:rsid w:val="003534DF"/>
    <w:rsid w:val="0035493A"/>
    <w:rsid w:val="00355EC6"/>
    <w:rsid w:val="00356A18"/>
    <w:rsid w:val="003572BC"/>
    <w:rsid w:val="00357435"/>
    <w:rsid w:val="003577E1"/>
    <w:rsid w:val="003613DD"/>
    <w:rsid w:val="00361CEB"/>
    <w:rsid w:val="00364244"/>
    <w:rsid w:val="00365687"/>
    <w:rsid w:val="00366729"/>
    <w:rsid w:val="003701E8"/>
    <w:rsid w:val="00370826"/>
    <w:rsid w:val="00372CD6"/>
    <w:rsid w:val="00372E9F"/>
    <w:rsid w:val="00373B54"/>
    <w:rsid w:val="0037405C"/>
    <w:rsid w:val="0037465E"/>
    <w:rsid w:val="00376810"/>
    <w:rsid w:val="00381050"/>
    <w:rsid w:val="0038295C"/>
    <w:rsid w:val="00384367"/>
    <w:rsid w:val="00385D2F"/>
    <w:rsid w:val="003906BB"/>
    <w:rsid w:val="00390B83"/>
    <w:rsid w:val="00390D5C"/>
    <w:rsid w:val="0039170E"/>
    <w:rsid w:val="00392A19"/>
    <w:rsid w:val="003932C3"/>
    <w:rsid w:val="0039426B"/>
    <w:rsid w:val="00394F79"/>
    <w:rsid w:val="00396D1D"/>
    <w:rsid w:val="003A1223"/>
    <w:rsid w:val="003A2C25"/>
    <w:rsid w:val="003A6A84"/>
    <w:rsid w:val="003A6D8A"/>
    <w:rsid w:val="003A753C"/>
    <w:rsid w:val="003B0153"/>
    <w:rsid w:val="003B025C"/>
    <w:rsid w:val="003B2385"/>
    <w:rsid w:val="003B35E5"/>
    <w:rsid w:val="003B3D8D"/>
    <w:rsid w:val="003B3E6E"/>
    <w:rsid w:val="003B57A1"/>
    <w:rsid w:val="003B6D30"/>
    <w:rsid w:val="003B7134"/>
    <w:rsid w:val="003C1865"/>
    <w:rsid w:val="003C497F"/>
    <w:rsid w:val="003C6AF0"/>
    <w:rsid w:val="003C6B6A"/>
    <w:rsid w:val="003D1111"/>
    <w:rsid w:val="003D111F"/>
    <w:rsid w:val="003D27EA"/>
    <w:rsid w:val="003D2BFF"/>
    <w:rsid w:val="003D39FC"/>
    <w:rsid w:val="003D6C54"/>
    <w:rsid w:val="003D7239"/>
    <w:rsid w:val="003D768C"/>
    <w:rsid w:val="003E3BD7"/>
    <w:rsid w:val="003E5220"/>
    <w:rsid w:val="003E5F75"/>
    <w:rsid w:val="003F5463"/>
    <w:rsid w:val="003F714C"/>
    <w:rsid w:val="0040016F"/>
    <w:rsid w:val="00402509"/>
    <w:rsid w:val="00402A97"/>
    <w:rsid w:val="00402B3E"/>
    <w:rsid w:val="00402D79"/>
    <w:rsid w:val="004033EE"/>
    <w:rsid w:val="0040665A"/>
    <w:rsid w:val="00410E3C"/>
    <w:rsid w:val="00412FF9"/>
    <w:rsid w:val="00413451"/>
    <w:rsid w:val="00416B3B"/>
    <w:rsid w:val="0041712D"/>
    <w:rsid w:val="004219E5"/>
    <w:rsid w:val="00422E51"/>
    <w:rsid w:val="00424278"/>
    <w:rsid w:val="00425783"/>
    <w:rsid w:val="004263B3"/>
    <w:rsid w:val="004268BA"/>
    <w:rsid w:val="00426AD8"/>
    <w:rsid w:val="00427C80"/>
    <w:rsid w:val="00430E24"/>
    <w:rsid w:val="00431DFC"/>
    <w:rsid w:val="00432158"/>
    <w:rsid w:val="004344C6"/>
    <w:rsid w:val="00436B4A"/>
    <w:rsid w:val="00444F8D"/>
    <w:rsid w:val="0044589B"/>
    <w:rsid w:val="00446E51"/>
    <w:rsid w:val="00450DB9"/>
    <w:rsid w:val="0045253D"/>
    <w:rsid w:val="00453893"/>
    <w:rsid w:val="004540D4"/>
    <w:rsid w:val="0045540A"/>
    <w:rsid w:val="0045664A"/>
    <w:rsid w:val="00456CD2"/>
    <w:rsid w:val="0045765D"/>
    <w:rsid w:val="00462DB8"/>
    <w:rsid w:val="004641F2"/>
    <w:rsid w:val="004645EC"/>
    <w:rsid w:val="00465FF6"/>
    <w:rsid w:val="00466EBD"/>
    <w:rsid w:val="004708E7"/>
    <w:rsid w:val="00470D71"/>
    <w:rsid w:val="004769AC"/>
    <w:rsid w:val="0048021E"/>
    <w:rsid w:val="00484C34"/>
    <w:rsid w:val="004865A6"/>
    <w:rsid w:val="00487169"/>
    <w:rsid w:val="00490B78"/>
    <w:rsid w:val="00495987"/>
    <w:rsid w:val="004960AE"/>
    <w:rsid w:val="00496D07"/>
    <w:rsid w:val="004978A9"/>
    <w:rsid w:val="004A140E"/>
    <w:rsid w:val="004A179F"/>
    <w:rsid w:val="004A483B"/>
    <w:rsid w:val="004A5D40"/>
    <w:rsid w:val="004B1A54"/>
    <w:rsid w:val="004B1D34"/>
    <w:rsid w:val="004B1E69"/>
    <w:rsid w:val="004B21D9"/>
    <w:rsid w:val="004B53D6"/>
    <w:rsid w:val="004B70E1"/>
    <w:rsid w:val="004B74BC"/>
    <w:rsid w:val="004B752C"/>
    <w:rsid w:val="004C093C"/>
    <w:rsid w:val="004C107E"/>
    <w:rsid w:val="004C667A"/>
    <w:rsid w:val="004C743C"/>
    <w:rsid w:val="004D230E"/>
    <w:rsid w:val="004D3762"/>
    <w:rsid w:val="004D4DD0"/>
    <w:rsid w:val="004E0523"/>
    <w:rsid w:val="004E6048"/>
    <w:rsid w:val="004E69B5"/>
    <w:rsid w:val="004F0392"/>
    <w:rsid w:val="004F2E4E"/>
    <w:rsid w:val="004F2E61"/>
    <w:rsid w:val="004F2F53"/>
    <w:rsid w:val="004F45D7"/>
    <w:rsid w:val="004F56B0"/>
    <w:rsid w:val="004F5812"/>
    <w:rsid w:val="004F6722"/>
    <w:rsid w:val="0050043D"/>
    <w:rsid w:val="00504435"/>
    <w:rsid w:val="0050443B"/>
    <w:rsid w:val="0050508A"/>
    <w:rsid w:val="00505D60"/>
    <w:rsid w:val="00505F76"/>
    <w:rsid w:val="0051322A"/>
    <w:rsid w:val="00513C44"/>
    <w:rsid w:val="00514FAA"/>
    <w:rsid w:val="005158E7"/>
    <w:rsid w:val="00516293"/>
    <w:rsid w:val="0051634D"/>
    <w:rsid w:val="00516804"/>
    <w:rsid w:val="005172C2"/>
    <w:rsid w:val="00517DFD"/>
    <w:rsid w:val="005203F3"/>
    <w:rsid w:val="00520D20"/>
    <w:rsid w:val="005225D4"/>
    <w:rsid w:val="0052313F"/>
    <w:rsid w:val="00524A43"/>
    <w:rsid w:val="0052513D"/>
    <w:rsid w:val="00525407"/>
    <w:rsid w:val="00525730"/>
    <w:rsid w:val="005269F7"/>
    <w:rsid w:val="00530D18"/>
    <w:rsid w:val="005318B0"/>
    <w:rsid w:val="00532682"/>
    <w:rsid w:val="005331E2"/>
    <w:rsid w:val="00533EE4"/>
    <w:rsid w:val="00534C76"/>
    <w:rsid w:val="00534DE6"/>
    <w:rsid w:val="005350AD"/>
    <w:rsid w:val="00536040"/>
    <w:rsid w:val="00536C0F"/>
    <w:rsid w:val="0054073A"/>
    <w:rsid w:val="005414B6"/>
    <w:rsid w:val="0054247B"/>
    <w:rsid w:val="005424D4"/>
    <w:rsid w:val="00542C19"/>
    <w:rsid w:val="00543E00"/>
    <w:rsid w:val="00544203"/>
    <w:rsid w:val="0054497D"/>
    <w:rsid w:val="0054675C"/>
    <w:rsid w:val="00547A9E"/>
    <w:rsid w:val="00552747"/>
    <w:rsid w:val="00553596"/>
    <w:rsid w:val="0055420C"/>
    <w:rsid w:val="0055487A"/>
    <w:rsid w:val="00555E60"/>
    <w:rsid w:val="00557AB7"/>
    <w:rsid w:val="005600D4"/>
    <w:rsid w:val="00560CC8"/>
    <w:rsid w:val="00560EAD"/>
    <w:rsid w:val="005627EA"/>
    <w:rsid w:val="00562875"/>
    <w:rsid w:val="00563DE8"/>
    <w:rsid w:val="00564B4F"/>
    <w:rsid w:val="00564C0A"/>
    <w:rsid w:val="00564F77"/>
    <w:rsid w:val="00567DB8"/>
    <w:rsid w:val="00570195"/>
    <w:rsid w:val="00570508"/>
    <w:rsid w:val="005710CF"/>
    <w:rsid w:val="005713A1"/>
    <w:rsid w:val="00574228"/>
    <w:rsid w:val="005779B6"/>
    <w:rsid w:val="00577B44"/>
    <w:rsid w:val="00577E29"/>
    <w:rsid w:val="005815F0"/>
    <w:rsid w:val="00584B6B"/>
    <w:rsid w:val="005850C3"/>
    <w:rsid w:val="0058539B"/>
    <w:rsid w:val="00587B66"/>
    <w:rsid w:val="00593E9A"/>
    <w:rsid w:val="00594096"/>
    <w:rsid w:val="005946DB"/>
    <w:rsid w:val="00597302"/>
    <w:rsid w:val="005A1C9F"/>
    <w:rsid w:val="005A2437"/>
    <w:rsid w:val="005A4E0A"/>
    <w:rsid w:val="005A7FBD"/>
    <w:rsid w:val="005B0200"/>
    <w:rsid w:val="005B0312"/>
    <w:rsid w:val="005B0C5A"/>
    <w:rsid w:val="005B18BF"/>
    <w:rsid w:val="005B1EAC"/>
    <w:rsid w:val="005B3622"/>
    <w:rsid w:val="005B381E"/>
    <w:rsid w:val="005B5574"/>
    <w:rsid w:val="005C1B82"/>
    <w:rsid w:val="005C20A2"/>
    <w:rsid w:val="005C232F"/>
    <w:rsid w:val="005C3A73"/>
    <w:rsid w:val="005C3C57"/>
    <w:rsid w:val="005C72AB"/>
    <w:rsid w:val="005C7B7E"/>
    <w:rsid w:val="005D10C3"/>
    <w:rsid w:val="005D1D94"/>
    <w:rsid w:val="005D26F5"/>
    <w:rsid w:val="005D6524"/>
    <w:rsid w:val="005D7C39"/>
    <w:rsid w:val="005E127C"/>
    <w:rsid w:val="005E50E0"/>
    <w:rsid w:val="005E5194"/>
    <w:rsid w:val="005E55B3"/>
    <w:rsid w:val="005E6204"/>
    <w:rsid w:val="005E65CA"/>
    <w:rsid w:val="005E670F"/>
    <w:rsid w:val="005E6EB9"/>
    <w:rsid w:val="005F01DA"/>
    <w:rsid w:val="005F115D"/>
    <w:rsid w:val="005F60E5"/>
    <w:rsid w:val="005F6574"/>
    <w:rsid w:val="00601FCF"/>
    <w:rsid w:val="0060335C"/>
    <w:rsid w:val="00603BBC"/>
    <w:rsid w:val="00605B4F"/>
    <w:rsid w:val="0060746A"/>
    <w:rsid w:val="0061124A"/>
    <w:rsid w:val="00613197"/>
    <w:rsid w:val="00613840"/>
    <w:rsid w:val="00615B3D"/>
    <w:rsid w:val="006169B8"/>
    <w:rsid w:val="00616E7A"/>
    <w:rsid w:val="006176EF"/>
    <w:rsid w:val="006224D6"/>
    <w:rsid w:val="00622699"/>
    <w:rsid w:val="0062429D"/>
    <w:rsid w:val="006244AF"/>
    <w:rsid w:val="006256D7"/>
    <w:rsid w:val="00627653"/>
    <w:rsid w:val="00627DE4"/>
    <w:rsid w:val="006302A0"/>
    <w:rsid w:val="00630863"/>
    <w:rsid w:val="00631B29"/>
    <w:rsid w:val="00631CCC"/>
    <w:rsid w:val="00633983"/>
    <w:rsid w:val="00636E70"/>
    <w:rsid w:val="006401AC"/>
    <w:rsid w:val="006439EE"/>
    <w:rsid w:val="00645EA1"/>
    <w:rsid w:val="006477AF"/>
    <w:rsid w:val="0065048C"/>
    <w:rsid w:val="00651870"/>
    <w:rsid w:val="00651E9E"/>
    <w:rsid w:val="00652DF2"/>
    <w:rsid w:val="006540EF"/>
    <w:rsid w:val="0065637D"/>
    <w:rsid w:val="00657166"/>
    <w:rsid w:val="00657FA6"/>
    <w:rsid w:val="00660EBB"/>
    <w:rsid w:val="00661A13"/>
    <w:rsid w:val="00664E0B"/>
    <w:rsid w:val="006660A6"/>
    <w:rsid w:val="006664F5"/>
    <w:rsid w:val="00667125"/>
    <w:rsid w:val="006700CD"/>
    <w:rsid w:val="006731A3"/>
    <w:rsid w:val="006742E1"/>
    <w:rsid w:val="00674F36"/>
    <w:rsid w:val="0067549F"/>
    <w:rsid w:val="0067681E"/>
    <w:rsid w:val="00684012"/>
    <w:rsid w:val="006840CD"/>
    <w:rsid w:val="00686377"/>
    <w:rsid w:val="006904B3"/>
    <w:rsid w:val="00690DDD"/>
    <w:rsid w:val="006939CD"/>
    <w:rsid w:val="006945B9"/>
    <w:rsid w:val="006948AC"/>
    <w:rsid w:val="006977D3"/>
    <w:rsid w:val="006A1BE7"/>
    <w:rsid w:val="006A26CF"/>
    <w:rsid w:val="006A51EF"/>
    <w:rsid w:val="006A52FB"/>
    <w:rsid w:val="006B2D52"/>
    <w:rsid w:val="006B3A97"/>
    <w:rsid w:val="006B51F0"/>
    <w:rsid w:val="006C31BE"/>
    <w:rsid w:val="006C3544"/>
    <w:rsid w:val="006C3788"/>
    <w:rsid w:val="006C3A8C"/>
    <w:rsid w:val="006C66A0"/>
    <w:rsid w:val="006D03B4"/>
    <w:rsid w:val="006D236C"/>
    <w:rsid w:val="006D615C"/>
    <w:rsid w:val="006D6A7D"/>
    <w:rsid w:val="006D7319"/>
    <w:rsid w:val="006E102A"/>
    <w:rsid w:val="006E2471"/>
    <w:rsid w:val="006E44B2"/>
    <w:rsid w:val="006E5353"/>
    <w:rsid w:val="006E69BE"/>
    <w:rsid w:val="006E6ACE"/>
    <w:rsid w:val="006F1C58"/>
    <w:rsid w:val="006F37D4"/>
    <w:rsid w:val="006F4217"/>
    <w:rsid w:val="006F5BDB"/>
    <w:rsid w:val="00700FD9"/>
    <w:rsid w:val="00701DBD"/>
    <w:rsid w:val="007028A7"/>
    <w:rsid w:val="0070348F"/>
    <w:rsid w:val="00703A27"/>
    <w:rsid w:val="00704062"/>
    <w:rsid w:val="007061DD"/>
    <w:rsid w:val="0071011E"/>
    <w:rsid w:val="007133AD"/>
    <w:rsid w:val="00714A49"/>
    <w:rsid w:val="00724C4C"/>
    <w:rsid w:val="0073038B"/>
    <w:rsid w:val="0073466E"/>
    <w:rsid w:val="00735C38"/>
    <w:rsid w:val="00736A22"/>
    <w:rsid w:val="00736A87"/>
    <w:rsid w:val="00736DF8"/>
    <w:rsid w:val="00740200"/>
    <w:rsid w:val="00740A6B"/>
    <w:rsid w:val="00740CFD"/>
    <w:rsid w:val="007424DF"/>
    <w:rsid w:val="00742F7B"/>
    <w:rsid w:val="00744802"/>
    <w:rsid w:val="00745637"/>
    <w:rsid w:val="007464C2"/>
    <w:rsid w:val="00753592"/>
    <w:rsid w:val="00753AA7"/>
    <w:rsid w:val="007564E7"/>
    <w:rsid w:val="00756768"/>
    <w:rsid w:val="007607F8"/>
    <w:rsid w:val="007623B2"/>
    <w:rsid w:val="0076493C"/>
    <w:rsid w:val="00764AA5"/>
    <w:rsid w:val="00766DA9"/>
    <w:rsid w:val="00770EAE"/>
    <w:rsid w:val="0077375C"/>
    <w:rsid w:val="00774254"/>
    <w:rsid w:val="00775090"/>
    <w:rsid w:val="00775831"/>
    <w:rsid w:val="00777310"/>
    <w:rsid w:val="00777913"/>
    <w:rsid w:val="007820D2"/>
    <w:rsid w:val="00782679"/>
    <w:rsid w:val="00782A0A"/>
    <w:rsid w:val="00783A37"/>
    <w:rsid w:val="00786002"/>
    <w:rsid w:val="00786874"/>
    <w:rsid w:val="00786D73"/>
    <w:rsid w:val="00787E1C"/>
    <w:rsid w:val="00791EC4"/>
    <w:rsid w:val="007927EF"/>
    <w:rsid w:val="00793AF0"/>
    <w:rsid w:val="0079534E"/>
    <w:rsid w:val="00795AE2"/>
    <w:rsid w:val="007A0BA4"/>
    <w:rsid w:val="007A19C4"/>
    <w:rsid w:val="007A4302"/>
    <w:rsid w:val="007A53AF"/>
    <w:rsid w:val="007A6989"/>
    <w:rsid w:val="007A7B18"/>
    <w:rsid w:val="007B246A"/>
    <w:rsid w:val="007B6A13"/>
    <w:rsid w:val="007C4DDA"/>
    <w:rsid w:val="007C5E29"/>
    <w:rsid w:val="007C64F4"/>
    <w:rsid w:val="007D0CBF"/>
    <w:rsid w:val="007D1D15"/>
    <w:rsid w:val="007D609A"/>
    <w:rsid w:val="007D73F1"/>
    <w:rsid w:val="007D749A"/>
    <w:rsid w:val="007D79F7"/>
    <w:rsid w:val="007E252E"/>
    <w:rsid w:val="007F24BB"/>
    <w:rsid w:val="007F31E7"/>
    <w:rsid w:val="007F36F9"/>
    <w:rsid w:val="007F3F4D"/>
    <w:rsid w:val="007F638D"/>
    <w:rsid w:val="007F7220"/>
    <w:rsid w:val="007F7384"/>
    <w:rsid w:val="008007BD"/>
    <w:rsid w:val="008018AA"/>
    <w:rsid w:val="00802A0D"/>
    <w:rsid w:val="00802F4B"/>
    <w:rsid w:val="00803DC2"/>
    <w:rsid w:val="0080455B"/>
    <w:rsid w:val="0080625A"/>
    <w:rsid w:val="008065AD"/>
    <w:rsid w:val="00806B8E"/>
    <w:rsid w:val="00811990"/>
    <w:rsid w:val="0081205A"/>
    <w:rsid w:val="0081618E"/>
    <w:rsid w:val="00816E29"/>
    <w:rsid w:val="00817CDA"/>
    <w:rsid w:val="00821D64"/>
    <w:rsid w:val="00822FF8"/>
    <w:rsid w:val="00823F4B"/>
    <w:rsid w:val="00826CD0"/>
    <w:rsid w:val="0083042F"/>
    <w:rsid w:val="00830483"/>
    <w:rsid w:val="00830E80"/>
    <w:rsid w:val="008325F7"/>
    <w:rsid w:val="0083474C"/>
    <w:rsid w:val="00835785"/>
    <w:rsid w:val="00840259"/>
    <w:rsid w:val="008435AD"/>
    <w:rsid w:val="00845A4A"/>
    <w:rsid w:val="00846572"/>
    <w:rsid w:val="008534BF"/>
    <w:rsid w:val="00853A39"/>
    <w:rsid w:val="0085414E"/>
    <w:rsid w:val="008542AA"/>
    <w:rsid w:val="00855791"/>
    <w:rsid w:val="008563CB"/>
    <w:rsid w:val="0085655D"/>
    <w:rsid w:val="008607FF"/>
    <w:rsid w:val="008620DC"/>
    <w:rsid w:val="0086369E"/>
    <w:rsid w:val="00863EA9"/>
    <w:rsid w:val="0086409C"/>
    <w:rsid w:val="00864B57"/>
    <w:rsid w:val="008657F5"/>
    <w:rsid w:val="00867908"/>
    <w:rsid w:val="00870AB3"/>
    <w:rsid w:val="00870DED"/>
    <w:rsid w:val="008719B4"/>
    <w:rsid w:val="00872EEE"/>
    <w:rsid w:val="00873662"/>
    <w:rsid w:val="008771E7"/>
    <w:rsid w:val="0088294F"/>
    <w:rsid w:val="008919C5"/>
    <w:rsid w:val="00891B0C"/>
    <w:rsid w:val="00892DE9"/>
    <w:rsid w:val="008931CC"/>
    <w:rsid w:val="0089387B"/>
    <w:rsid w:val="00894891"/>
    <w:rsid w:val="008A2ABA"/>
    <w:rsid w:val="008A3BE8"/>
    <w:rsid w:val="008A3E25"/>
    <w:rsid w:val="008A4286"/>
    <w:rsid w:val="008A4C66"/>
    <w:rsid w:val="008A7C0A"/>
    <w:rsid w:val="008B04D5"/>
    <w:rsid w:val="008B0C1D"/>
    <w:rsid w:val="008B2538"/>
    <w:rsid w:val="008B3BFD"/>
    <w:rsid w:val="008B4696"/>
    <w:rsid w:val="008B4C49"/>
    <w:rsid w:val="008B5230"/>
    <w:rsid w:val="008B653E"/>
    <w:rsid w:val="008B762F"/>
    <w:rsid w:val="008C2A3B"/>
    <w:rsid w:val="008C413C"/>
    <w:rsid w:val="008C45A1"/>
    <w:rsid w:val="008D0F06"/>
    <w:rsid w:val="008D3535"/>
    <w:rsid w:val="008D5114"/>
    <w:rsid w:val="008D70D7"/>
    <w:rsid w:val="008D7986"/>
    <w:rsid w:val="008D7D1C"/>
    <w:rsid w:val="008E1487"/>
    <w:rsid w:val="008E1867"/>
    <w:rsid w:val="008E205D"/>
    <w:rsid w:val="008E25E0"/>
    <w:rsid w:val="008E50FB"/>
    <w:rsid w:val="008F4166"/>
    <w:rsid w:val="008F725D"/>
    <w:rsid w:val="008F741B"/>
    <w:rsid w:val="00900794"/>
    <w:rsid w:val="0090107F"/>
    <w:rsid w:val="00901967"/>
    <w:rsid w:val="00901D9B"/>
    <w:rsid w:val="00902571"/>
    <w:rsid w:val="00906AFB"/>
    <w:rsid w:val="00907A22"/>
    <w:rsid w:val="00911395"/>
    <w:rsid w:val="009132E5"/>
    <w:rsid w:val="00914F3B"/>
    <w:rsid w:val="00917211"/>
    <w:rsid w:val="00921454"/>
    <w:rsid w:val="009221BD"/>
    <w:rsid w:val="0092313F"/>
    <w:rsid w:val="00925AC8"/>
    <w:rsid w:val="00926B1E"/>
    <w:rsid w:val="00927444"/>
    <w:rsid w:val="00927B6A"/>
    <w:rsid w:val="0093011A"/>
    <w:rsid w:val="0093074A"/>
    <w:rsid w:val="00931434"/>
    <w:rsid w:val="00931EA2"/>
    <w:rsid w:val="009322DD"/>
    <w:rsid w:val="00932C0D"/>
    <w:rsid w:val="00934FAE"/>
    <w:rsid w:val="00943717"/>
    <w:rsid w:val="0094377D"/>
    <w:rsid w:val="00944980"/>
    <w:rsid w:val="00945508"/>
    <w:rsid w:val="0094671B"/>
    <w:rsid w:val="0094774C"/>
    <w:rsid w:val="009530A9"/>
    <w:rsid w:val="00954921"/>
    <w:rsid w:val="009600E5"/>
    <w:rsid w:val="0096014E"/>
    <w:rsid w:val="00963214"/>
    <w:rsid w:val="009637A9"/>
    <w:rsid w:val="009641AD"/>
    <w:rsid w:val="00965019"/>
    <w:rsid w:val="00965769"/>
    <w:rsid w:val="009660FF"/>
    <w:rsid w:val="00966F8F"/>
    <w:rsid w:val="00967730"/>
    <w:rsid w:val="00971FEE"/>
    <w:rsid w:val="00972FD2"/>
    <w:rsid w:val="009732AD"/>
    <w:rsid w:val="00974FD6"/>
    <w:rsid w:val="0097509F"/>
    <w:rsid w:val="00975B49"/>
    <w:rsid w:val="009777BB"/>
    <w:rsid w:val="0098133E"/>
    <w:rsid w:val="00981AA3"/>
    <w:rsid w:val="00983BAE"/>
    <w:rsid w:val="009870D2"/>
    <w:rsid w:val="009901E4"/>
    <w:rsid w:val="00991458"/>
    <w:rsid w:val="00993946"/>
    <w:rsid w:val="00994E1C"/>
    <w:rsid w:val="0099512E"/>
    <w:rsid w:val="00995AE0"/>
    <w:rsid w:val="009A4550"/>
    <w:rsid w:val="009A46F7"/>
    <w:rsid w:val="009A79C2"/>
    <w:rsid w:val="009B5733"/>
    <w:rsid w:val="009B5BBE"/>
    <w:rsid w:val="009B7203"/>
    <w:rsid w:val="009C089F"/>
    <w:rsid w:val="009C0FBA"/>
    <w:rsid w:val="009C1CAF"/>
    <w:rsid w:val="009C368F"/>
    <w:rsid w:val="009C6327"/>
    <w:rsid w:val="009C636A"/>
    <w:rsid w:val="009C781F"/>
    <w:rsid w:val="009C7EB3"/>
    <w:rsid w:val="009D0500"/>
    <w:rsid w:val="009D6AA2"/>
    <w:rsid w:val="009D6EDE"/>
    <w:rsid w:val="009D7594"/>
    <w:rsid w:val="009E1AAE"/>
    <w:rsid w:val="009E2105"/>
    <w:rsid w:val="009E5CEE"/>
    <w:rsid w:val="009F3879"/>
    <w:rsid w:val="009F5643"/>
    <w:rsid w:val="009F566B"/>
    <w:rsid w:val="009F5ADE"/>
    <w:rsid w:val="009F6F39"/>
    <w:rsid w:val="009F7FD7"/>
    <w:rsid w:val="00A01631"/>
    <w:rsid w:val="00A0187D"/>
    <w:rsid w:val="00A01DBA"/>
    <w:rsid w:val="00A01F14"/>
    <w:rsid w:val="00A01F49"/>
    <w:rsid w:val="00A043FA"/>
    <w:rsid w:val="00A051E6"/>
    <w:rsid w:val="00A0622B"/>
    <w:rsid w:val="00A06C46"/>
    <w:rsid w:val="00A11ABF"/>
    <w:rsid w:val="00A17A6B"/>
    <w:rsid w:val="00A232E0"/>
    <w:rsid w:val="00A23DA7"/>
    <w:rsid w:val="00A25396"/>
    <w:rsid w:val="00A263CB"/>
    <w:rsid w:val="00A308CB"/>
    <w:rsid w:val="00A31094"/>
    <w:rsid w:val="00A3459F"/>
    <w:rsid w:val="00A414EA"/>
    <w:rsid w:val="00A439F3"/>
    <w:rsid w:val="00A440F1"/>
    <w:rsid w:val="00A45086"/>
    <w:rsid w:val="00A524DC"/>
    <w:rsid w:val="00A529DB"/>
    <w:rsid w:val="00A530B6"/>
    <w:rsid w:val="00A55185"/>
    <w:rsid w:val="00A55609"/>
    <w:rsid w:val="00A557D4"/>
    <w:rsid w:val="00A578C3"/>
    <w:rsid w:val="00A645F8"/>
    <w:rsid w:val="00A65344"/>
    <w:rsid w:val="00A70AC9"/>
    <w:rsid w:val="00A7590B"/>
    <w:rsid w:val="00A76CBD"/>
    <w:rsid w:val="00A81A54"/>
    <w:rsid w:val="00A832DC"/>
    <w:rsid w:val="00A857FA"/>
    <w:rsid w:val="00A86124"/>
    <w:rsid w:val="00A95503"/>
    <w:rsid w:val="00A95A59"/>
    <w:rsid w:val="00A96EC3"/>
    <w:rsid w:val="00A9704D"/>
    <w:rsid w:val="00A97490"/>
    <w:rsid w:val="00AA2DB7"/>
    <w:rsid w:val="00AA46BF"/>
    <w:rsid w:val="00AA4BB1"/>
    <w:rsid w:val="00AB32CF"/>
    <w:rsid w:val="00AB3EA6"/>
    <w:rsid w:val="00AB5152"/>
    <w:rsid w:val="00AB718E"/>
    <w:rsid w:val="00AB7FDC"/>
    <w:rsid w:val="00AC2671"/>
    <w:rsid w:val="00AC2B35"/>
    <w:rsid w:val="00AC3791"/>
    <w:rsid w:val="00AC5CD4"/>
    <w:rsid w:val="00AD01B0"/>
    <w:rsid w:val="00AD1C12"/>
    <w:rsid w:val="00AD2138"/>
    <w:rsid w:val="00AD27E1"/>
    <w:rsid w:val="00AD3F80"/>
    <w:rsid w:val="00AD6973"/>
    <w:rsid w:val="00AD7640"/>
    <w:rsid w:val="00AE1A70"/>
    <w:rsid w:val="00AE2B11"/>
    <w:rsid w:val="00AE30EB"/>
    <w:rsid w:val="00AE33CA"/>
    <w:rsid w:val="00AE3AAB"/>
    <w:rsid w:val="00AE59D8"/>
    <w:rsid w:val="00AF182C"/>
    <w:rsid w:val="00AF66FF"/>
    <w:rsid w:val="00AF68C9"/>
    <w:rsid w:val="00AF6B9C"/>
    <w:rsid w:val="00AF74DD"/>
    <w:rsid w:val="00AF7A9F"/>
    <w:rsid w:val="00B01F00"/>
    <w:rsid w:val="00B029E3"/>
    <w:rsid w:val="00B02F3B"/>
    <w:rsid w:val="00B03DBB"/>
    <w:rsid w:val="00B03DEE"/>
    <w:rsid w:val="00B05D23"/>
    <w:rsid w:val="00B11683"/>
    <w:rsid w:val="00B13A6B"/>
    <w:rsid w:val="00B175BA"/>
    <w:rsid w:val="00B21D59"/>
    <w:rsid w:val="00B220C1"/>
    <w:rsid w:val="00B22518"/>
    <w:rsid w:val="00B22C49"/>
    <w:rsid w:val="00B24C0F"/>
    <w:rsid w:val="00B262DD"/>
    <w:rsid w:val="00B26AB4"/>
    <w:rsid w:val="00B318F1"/>
    <w:rsid w:val="00B32709"/>
    <w:rsid w:val="00B33003"/>
    <w:rsid w:val="00B34F8F"/>
    <w:rsid w:val="00B35766"/>
    <w:rsid w:val="00B35D2D"/>
    <w:rsid w:val="00B3648D"/>
    <w:rsid w:val="00B40D0C"/>
    <w:rsid w:val="00B4254C"/>
    <w:rsid w:val="00B451A9"/>
    <w:rsid w:val="00B46071"/>
    <w:rsid w:val="00B50485"/>
    <w:rsid w:val="00B50866"/>
    <w:rsid w:val="00B53392"/>
    <w:rsid w:val="00B533D2"/>
    <w:rsid w:val="00B572B3"/>
    <w:rsid w:val="00B611E1"/>
    <w:rsid w:val="00B61A26"/>
    <w:rsid w:val="00B63908"/>
    <w:rsid w:val="00B63CC9"/>
    <w:rsid w:val="00B660BF"/>
    <w:rsid w:val="00B668E2"/>
    <w:rsid w:val="00B72257"/>
    <w:rsid w:val="00B7379F"/>
    <w:rsid w:val="00B74C0A"/>
    <w:rsid w:val="00B76682"/>
    <w:rsid w:val="00B767CB"/>
    <w:rsid w:val="00B76ABC"/>
    <w:rsid w:val="00B778BD"/>
    <w:rsid w:val="00B819FA"/>
    <w:rsid w:val="00B81AA4"/>
    <w:rsid w:val="00B824DE"/>
    <w:rsid w:val="00B83496"/>
    <w:rsid w:val="00B83CE4"/>
    <w:rsid w:val="00B86AEF"/>
    <w:rsid w:val="00B86B68"/>
    <w:rsid w:val="00B86EA7"/>
    <w:rsid w:val="00B87646"/>
    <w:rsid w:val="00B9555A"/>
    <w:rsid w:val="00B96C54"/>
    <w:rsid w:val="00BA1601"/>
    <w:rsid w:val="00BA21CF"/>
    <w:rsid w:val="00BA220E"/>
    <w:rsid w:val="00BA2A22"/>
    <w:rsid w:val="00BA3075"/>
    <w:rsid w:val="00BA4606"/>
    <w:rsid w:val="00BA7E4A"/>
    <w:rsid w:val="00BB6003"/>
    <w:rsid w:val="00BB60B7"/>
    <w:rsid w:val="00BC38F3"/>
    <w:rsid w:val="00BC39D9"/>
    <w:rsid w:val="00BD2470"/>
    <w:rsid w:val="00BD54C1"/>
    <w:rsid w:val="00BD688A"/>
    <w:rsid w:val="00BD6CFE"/>
    <w:rsid w:val="00BD744B"/>
    <w:rsid w:val="00BD7BC6"/>
    <w:rsid w:val="00BE19B7"/>
    <w:rsid w:val="00BE370E"/>
    <w:rsid w:val="00BE7067"/>
    <w:rsid w:val="00BE7160"/>
    <w:rsid w:val="00BF32D7"/>
    <w:rsid w:val="00BF3358"/>
    <w:rsid w:val="00BF3E8D"/>
    <w:rsid w:val="00BF51C3"/>
    <w:rsid w:val="00BF6C2C"/>
    <w:rsid w:val="00C00625"/>
    <w:rsid w:val="00C014B2"/>
    <w:rsid w:val="00C04B72"/>
    <w:rsid w:val="00C10B1C"/>
    <w:rsid w:val="00C120B3"/>
    <w:rsid w:val="00C12AD8"/>
    <w:rsid w:val="00C13369"/>
    <w:rsid w:val="00C135DD"/>
    <w:rsid w:val="00C13C7F"/>
    <w:rsid w:val="00C142ED"/>
    <w:rsid w:val="00C14507"/>
    <w:rsid w:val="00C20907"/>
    <w:rsid w:val="00C24319"/>
    <w:rsid w:val="00C25E7F"/>
    <w:rsid w:val="00C26A34"/>
    <w:rsid w:val="00C30167"/>
    <w:rsid w:val="00C321F5"/>
    <w:rsid w:val="00C3277D"/>
    <w:rsid w:val="00C32A2D"/>
    <w:rsid w:val="00C32DE3"/>
    <w:rsid w:val="00C33207"/>
    <w:rsid w:val="00C35219"/>
    <w:rsid w:val="00C3615C"/>
    <w:rsid w:val="00C36295"/>
    <w:rsid w:val="00C40302"/>
    <w:rsid w:val="00C418D9"/>
    <w:rsid w:val="00C41980"/>
    <w:rsid w:val="00C437CD"/>
    <w:rsid w:val="00C443A5"/>
    <w:rsid w:val="00C46318"/>
    <w:rsid w:val="00C47193"/>
    <w:rsid w:val="00C477BB"/>
    <w:rsid w:val="00C50FC8"/>
    <w:rsid w:val="00C51403"/>
    <w:rsid w:val="00C51461"/>
    <w:rsid w:val="00C51D0A"/>
    <w:rsid w:val="00C52722"/>
    <w:rsid w:val="00C54E2E"/>
    <w:rsid w:val="00C54F21"/>
    <w:rsid w:val="00C5559E"/>
    <w:rsid w:val="00C630DF"/>
    <w:rsid w:val="00C63DF7"/>
    <w:rsid w:val="00C63EA5"/>
    <w:rsid w:val="00C64650"/>
    <w:rsid w:val="00C65819"/>
    <w:rsid w:val="00C6785B"/>
    <w:rsid w:val="00C72FA2"/>
    <w:rsid w:val="00C75067"/>
    <w:rsid w:val="00C751C9"/>
    <w:rsid w:val="00C752CF"/>
    <w:rsid w:val="00C77006"/>
    <w:rsid w:val="00C775D7"/>
    <w:rsid w:val="00C77786"/>
    <w:rsid w:val="00C808E9"/>
    <w:rsid w:val="00C819C9"/>
    <w:rsid w:val="00C84C8A"/>
    <w:rsid w:val="00C85DBC"/>
    <w:rsid w:val="00C86C38"/>
    <w:rsid w:val="00C8711D"/>
    <w:rsid w:val="00C87700"/>
    <w:rsid w:val="00C87D67"/>
    <w:rsid w:val="00C92C4F"/>
    <w:rsid w:val="00C93976"/>
    <w:rsid w:val="00C93DCD"/>
    <w:rsid w:val="00C9507D"/>
    <w:rsid w:val="00C95E15"/>
    <w:rsid w:val="00C95F26"/>
    <w:rsid w:val="00CA068B"/>
    <w:rsid w:val="00CA18A5"/>
    <w:rsid w:val="00CA3BEE"/>
    <w:rsid w:val="00CA5436"/>
    <w:rsid w:val="00CA754E"/>
    <w:rsid w:val="00CB0801"/>
    <w:rsid w:val="00CB1165"/>
    <w:rsid w:val="00CB4344"/>
    <w:rsid w:val="00CB43B3"/>
    <w:rsid w:val="00CB50BC"/>
    <w:rsid w:val="00CB6193"/>
    <w:rsid w:val="00CC17D2"/>
    <w:rsid w:val="00CC2A1D"/>
    <w:rsid w:val="00CC2EA6"/>
    <w:rsid w:val="00CC4979"/>
    <w:rsid w:val="00CC615A"/>
    <w:rsid w:val="00CC67EE"/>
    <w:rsid w:val="00CC697F"/>
    <w:rsid w:val="00CC6DC9"/>
    <w:rsid w:val="00CC7902"/>
    <w:rsid w:val="00CD188B"/>
    <w:rsid w:val="00CD5134"/>
    <w:rsid w:val="00CD5684"/>
    <w:rsid w:val="00CD6918"/>
    <w:rsid w:val="00CE1B60"/>
    <w:rsid w:val="00CE2628"/>
    <w:rsid w:val="00CE64E5"/>
    <w:rsid w:val="00CF2789"/>
    <w:rsid w:val="00CF4470"/>
    <w:rsid w:val="00CF5787"/>
    <w:rsid w:val="00CF6E77"/>
    <w:rsid w:val="00D02F4D"/>
    <w:rsid w:val="00D065CB"/>
    <w:rsid w:val="00D06BA8"/>
    <w:rsid w:val="00D06DBB"/>
    <w:rsid w:val="00D127BA"/>
    <w:rsid w:val="00D16771"/>
    <w:rsid w:val="00D23EA3"/>
    <w:rsid w:val="00D26B4A"/>
    <w:rsid w:val="00D27B17"/>
    <w:rsid w:val="00D27BB7"/>
    <w:rsid w:val="00D32A91"/>
    <w:rsid w:val="00D32F88"/>
    <w:rsid w:val="00D34221"/>
    <w:rsid w:val="00D356B6"/>
    <w:rsid w:val="00D3642F"/>
    <w:rsid w:val="00D422C5"/>
    <w:rsid w:val="00D43736"/>
    <w:rsid w:val="00D44CE4"/>
    <w:rsid w:val="00D4536C"/>
    <w:rsid w:val="00D458AD"/>
    <w:rsid w:val="00D47B40"/>
    <w:rsid w:val="00D47F79"/>
    <w:rsid w:val="00D53132"/>
    <w:rsid w:val="00D55C7A"/>
    <w:rsid w:val="00D560B4"/>
    <w:rsid w:val="00D56CC5"/>
    <w:rsid w:val="00D57340"/>
    <w:rsid w:val="00D5781E"/>
    <w:rsid w:val="00D63BB7"/>
    <w:rsid w:val="00D64189"/>
    <w:rsid w:val="00D651CA"/>
    <w:rsid w:val="00D65CA0"/>
    <w:rsid w:val="00D67454"/>
    <w:rsid w:val="00D67BE2"/>
    <w:rsid w:val="00D763F5"/>
    <w:rsid w:val="00D76EEC"/>
    <w:rsid w:val="00D771E9"/>
    <w:rsid w:val="00D8152F"/>
    <w:rsid w:val="00D81B00"/>
    <w:rsid w:val="00D85DDD"/>
    <w:rsid w:val="00D864C2"/>
    <w:rsid w:val="00D939AA"/>
    <w:rsid w:val="00D9623F"/>
    <w:rsid w:val="00D963B4"/>
    <w:rsid w:val="00DA1AE4"/>
    <w:rsid w:val="00DA4125"/>
    <w:rsid w:val="00DA4D4E"/>
    <w:rsid w:val="00DA7A75"/>
    <w:rsid w:val="00DB05FF"/>
    <w:rsid w:val="00DB11D4"/>
    <w:rsid w:val="00DB1C72"/>
    <w:rsid w:val="00DB356B"/>
    <w:rsid w:val="00DB5198"/>
    <w:rsid w:val="00DB5BAD"/>
    <w:rsid w:val="00DB78B0"/>
    <w:rsid w:val="00DB7907"/>
    <w:rsid w:val="00DC1E6C"/>
    <w:rsid w:val="00DC257C"/>
    <w:rsid w:val="00DC2C47"/>
    <w:rsid w:val="00DC3DCE"/>
    <w:rsid w:val="00DD2226"/>
    <w:rsid w:val="00DD2503"/>
    <w:rsid w:val="00DD2B3E"/>
    <w:rsid w:val="00DD320F"/>
    <w:rsid w:val="00DD4096"/>
    <w:rsid w:val="00DD55FD"/>
    <w:rsid w:val="00DD7B54"/>
    <w:rsid w:val="00DE21C3"/>
    <w:rsid w:val="00DE35C5"/>
    <w:rsid w:val="00DE5468"/>
    <w:rsid w:val="00DE6934"/>
    <w:rsid w:val="00DE6A25"/>
    <w:rsid w:val="00DE6DD4"/>
    <w:rsid w:val="00DE7147"/>
    <w:rsid w:val="00DE7E38"/>
    <w:rsid w:val="00DE7EDD"/>
    <w:rsid w:val="00DF4457"/>
    <w:rsid w:val="00DF5F10"/>
    <w:rsid w:val="00DF616E"/>
    <w:rsid w:val="00DF63B3"/>
    <w:rsid w:val="00DF67D3"/>
    <w:rsid w:val="00DF6BE8"/>
    <w:rsid w:val="00E005FD"/>
    <w:rsid w:val="00E00C42"/>
    <w:rsid w:val="00E028B4"/>
    <w:rsid w:val="00E06F60"/>
    <w:rsid w:val="00E1306A"/>
    <w:rsid w:val="00E17AB5"/>
    <w:rsid w:val="00E17E6E"/>
    <w:rsid w:val="00E21DF9"/>
    <w:rsid w:val="00E247EB"/>
    <w:rsid w:val="00E258C4"/>
    <w:rsid w:val="00E26A42"/>
    <w:rsid w:val="00E30A52"/>
    <w:rsid w:val="00E30CAA"/>
    <w:rsid w:val="00E31837"/>
    <w:rsid w:val="00E32872"/>
    <w:rsid w:val="00E35279"/>
    <w:rsid w:val="00E37200"/>
    <w:rsid w:val="00E405CC"/>
    <w:rsid w:val="00E4085D"/>
    <w:rsid w:val="00E42728"/>
    <w:rsid w:val="00E42FC1"/>
    <w:rsid w:val="00E45A53"/>
    <w:rsid w:val="00E5387C"/>
    <w:rsid w:val="00E53B62"/>
    <w:rsid w:val="00E542A7"/>
    <w:rsid w:val="00E5453C"/>
    <w:rsid w:val="00E56A6F"/>
    <w:rsid w:val="00E57263"/>
    <w:rsid w:val="00E6087A"/>
    <w:rsid w:val="00E60DAA"/>
    <w:rsid w:val="00E627E0"/>
    <w:rsid w:val="00E63354"/>
    <w:rsid w:val="00E634CB"/>
    <w:rsid w:val="00E70D21"/>
    <w:rsid w:val="00E74C37"/>
    <w:rsid w:val="00E7507F"/>
    <w:rsid w:val="00E80318"/>
    <w:rsid w:val="00E818BE"/>
    <w:rsid w:val="00E82175"/>
    <w:rsid w:val="00E82B4B"/>
    <w:rsid w:val="00E84B02"/>
    <w:rsid w:val="00E86514"/>
    <w:rsid w:val="00E87D60"/>
    <w:rsid w:val="00E95850"/>
    <w:rsid w:val="00E97D94"/>
    <w:rsid w:val="00EA0465"/>
    <w:rsid w:val="00EA3899"/>
    <w:rsid w:val="00EA59E4"/>
    <w:rsid w:val="00EB02D9"/>
    <w:rsid w:val="00EB11FD"/>
    <w:rsid w:val="00EB4288"/>
    <w:rsid w:val="00EB443F"/>
    <w:rsid w:val="00EB4CC1"/>
    <w:rsid w:val="00EB7428"/>
    <w:rsid w:val="00EC04B9"/>
    <w:rsid w:val="00EC1389"/>
    <w:rsid w:val="00EC3EA5"/>
    <w:rsid w:val="00EC49D4"/>
    <w:rsid w:val="00EC61E9"/>
    <w:rsid w:val="00EC6C78"/>
    <w:rsid w:val="00EC7DDA"/>
    <w:rsid w:val="00ED0845"/>
    <w:rsid w:val="00ED0A44"/>
    <w:rsid w:val="00ED3F0E"/>
    <w:rsid w:val="00ED5AB4"/>
    <w:rsid w:val="00ED67ED"/>
    <w:rsid w:val="00ED7077"/>
    <w:rsid w:val="00EE065A"/>
    <w:rsid w:val="00EE0917"/>
    <w:rsid w:val="00EE7525"/>
    <w:rsid w:val="00EE7A9E"/>
    <w:rsid w:val="00EF2015"/>
    <w:rsid w:val="00EF2D49"/>
    <w:rsid w:val="00EF31C1"/>
    <w:rsid w:val="00EF344D"/>
    <w:rsid w:val="00EF58F7"/>
    <w:rsid w:val="00EF6723"/>
    <w:rsid w:val="00F002FD"/>
    <w:rsid w:val="00F00EE9"/>
    <w:rsid w:val="00F01953"/>
    <w:rsid w:val="00F025DB"/>
    <w:rsid w:val="00F031A6"/>
    <w:rsid w:val="00F05E44"/>
    <w:rsid w:val="00F11956"/>
    <w:rsid w:val="00F13F89"/>
    <w:rsid w:val="00F15D30"/>
    <w:rsid w:val="00F16E48"/>
    <w:rsid w:val="00F17190"/>
    <w:rsid w:val="00F17C9D"/>
    <w:rsid w:val="00F2467E"/>
    <w:rsid w:val="00F261BC"/>
    <w:rsid w:val="00F267C3"/>
    <w:rsid w:val="00F26B96"/>
    <w:rsid w:val="00F26D2B"/>
    <w:rsid w:val="00F30A3A"/>
    <w:rsid w:val="00F31E10"/>
    <w:rsid w:val="00F32C7A"/>
    <w:rsid w:val="00F33043"/>
    <w:rsid w:val="00F40F1C"/>
    <w:rsid w:val="00F41C79"/>
    <w:rsid w:val="00F42D8C"/>
    <w:rsid w:val="00F43EE7"/>
    <w:rsid w:val="00F441CE"/>
    <w:rsid w:val="00F45772"/>
    <w:rsid w:val="00F464E9"/>
    <w:rsid w:val="00F47DB7"/>
    <w:rsid w:val="00F5143A"/>
    <w:rsid w:val="00F53E03"/>
    <w:rsid w:val="00F54F3C"/>
    <w:rsid w:val="00F57ED2"/>
    <w:rsid w:val="00F60205"/>
    <w:rsid w:val="00F6038B"/>
    <w:rsid w:val="00F62C27"/>
    <w:rsid w:val="00F64BD7"/>
    <w:rsid w:val="00F65108"/>
    <w:rsid w:val="00F7048E"/>
    <w:rsid w:val="00F70BCE"/>
    <w:rsid w:val="00F71FB9"/>
    <w:rsid w:val="00F74A20"/>
    <w:rsid w:val="00F75A79"/>
    <w:rsid w:val="00F76FB1"/>
    <w:rsid w:val="00F773F0"/>
    <w:rsid w:val="00F806AB"/>
    <w:rsid w:val="00F806E6"/>
    <w:rsid w:val="00F81D22"/>
    <w:rsid w:val="00F833CA"/>
    <w:rsid w:val="00F837DB"/>
    <w:rsid w:val="00F84061"/>
    <w:rsid w:val="00F86402"/>
    <w:rsid w:val="00F8750A"/>
    <w:rsid w:val="00F92BFF"/>
    <w:rsid w:val="00F92CEC"/>
    <w:rsid w:val="00F93DC8"/>
    <w:rsid w:val="00F95B7E"/>
    <w:rsid w:val="00F96C56"/>
    <w:rsid w:val="00F970CE"/>
    <w:rsid w:val="00FA0F82"/>
    <w:rsid w:val="00FA18C3"/>
    <w:rsid w:val="00FA4590"/>
    <w:rsid w:val="00FA6404"/>
    <w:rsid w:val="00FA7857"/>
    <w:rsid w:val="00FB0F3D"/>
    <w:rsid w:val="00FB3153"/>
    <w:rsid w:val="00FB4A33"/>
    <w:rsid w:val="00FC27EF"/>
    <w:rsid w:val="00FC446F"/>
    <w:rsid w:val="00FC5F03"/>
    <w:rsid w:val="00FC6FA6"/>
    <w:rsid w:val="00FD048A"/>
    <w:rsid w:val="00FD144B"/>
    <w:rsid w:val="00FD1482"/>
    <w:rsid w:val="00FD16E9"/>
    <w:rsid w:val="00FD289A"/>
    <w:rsid w:val="00FD3C31"/>
    <w:rsid w:val="00FD4660"/>
    <w:rsid w:val="00FD4D0F"/>
    <w:rsid w:val="00FD710B"/>
    <w:rsid w:val="00FE1E23"/>
    <w:rsid w:val="00FE29B9"/>
    <w:rsid w:val="00FE3186"/>
    <w:rsid w:val="00FE6A60"/>
    <w:rsid w:val="00FE7795"/>
    <w:rsid w:val="00FF018B"/>
    <w:rsid w:val="00FF129F"/>
    <w:rsid w:val="00FF15A0"/>
    <w:rsid w:val="00FF2853"/>
    <w:rsid w:val="00FF3AA6"/>
    <w:rsid w:val="00FF6E73"/>
    <w:rsid w:val="010B5384"/>
    <w:rsid w:val="0257117E"/>
    <w:rsid w:val="03372264"/>
    <w:rsid w:val="034D7180"/>
    <w:rsid w:val="036D909F"/>
    <w:rsid w:val="043D5CBA"/>
    <w:rsid w:val="051FB8BD"/>
    <w:rsid w:val="053F6D4C"/>
    <w:rsid w:val="07839F69"/>
    <w:rsid w:val="081BAF07"/>
    <w:rsid w:val="0860F4EF"/>
    <w:rsid w:val="08B17480"/>
    <w:rsid w:val="08C3578B"/>
    <w:rsid w:val="0ACDDF83"/>
    <w:rsid w:val="0AF1C018"/>
    <w:rsid w:val="0C624AA7"/>
    <w:rsid w:val="0C6BA1E8"/>
    <w:rsid w:val="0DC38CE4"/>
    <w:rsid w:val="0DC71E33"/>
    <w:rsid w:val="0DE8F4F1"/>
    <w:rsid w:val="0F726E95"/>
    <w:rsid w:val="0FDBC2F2"/>
    <w:rsid w:val="100E5A18"/>
    <w:rsid w:val="1096053E"/>
    <w:rsid w:val="13CD50F5"/>
    <w:rsid w:val="149B49E3"/>
    <w:rsid w:val="14E757D1"/>
    <w:rsid w:val="1531D385"/>
    <w:rsid w:val="164E70D0"/>
    <w:rsid w:val="16EA3F2F"/>
    <w:rsid w:val="176C354F"/>
    <w:rsid w:val="179D69AB"/>
    <w:rsid w:val="1872A43F"/>
    <w:rsid w:val="187D5D8A"/>
    <w:rsid w:val="191E2A7D"/>
    <w:rsid w:val="194090F1"/>
    <w:rsid w:val="196D68FE"/>
    <w:rsid w:val="1A30CBEC"/>
    <w:rsid w:val="1A53061F"/>
    <w:rsid w:val="1A77CF3F"/>
    <w:rsid w:val="1BDDE7F8"/>
    <w:rsid w:val="1BE58F1D"/>
    <w:rsid w:val="1BEC3F96"/>
    <w:rsid w:val="1C24EF80"/>
    <w:rsid w:val="1CF46EBA"/>
    <w:rsid w:val="1DC2E674"/>
    <w:rsid w:val="1E8218CF"/>
    <w:rsid w:val="1F5B17E6"/>
    <w:rsid w:val="1F72AEB1"/>
    <w:rsid w:val="1F99CECD"/>
    <w:rsid w:val="1FC05674"/>
    <w:rsid w:val="1FE0E1AE"/>
    <w:rsid w:val="1FF0D7D7"/>
    <w:rsid w:val="2001CD24"/>
    <w:rsid w:val="202C9E97"/>
    <w:rsid w:val="20AAB8A5"/>
    <w:rsid w:val="20D16FA9"/>
    <w:rsid w:val="20EA579C"/>
    <w:rsid w:val="21302CB2"/>
    <w:rsid w:val="22DBE5FE"/>
    <w:rsid w:val="2382C0FE"/>
    <w:rsid w:val="239E14A2"/>
    <w:rsid w:val="23BDA38E"/>
    <w:rsid w:val="23EA8CFF"/>
    <w:rsid w:val="243B3237"/>
    <w:rsid w:val="24A05B8D"/>
    <w:rsid w:val="24ECE1A7"/>
    <w:rsid w:val="25554661"/>
    <w:rsid w:val="25CB0D42"/>
    <w:rsid w:val="25EF9E38"/>
    <w:rsid w:val="270E6F30"/>
    <w:rsid w:val="276096A8"/>
    <w:rsid w:val="27C09307"/>
    <w:rsid w:val="282426E4"/>
    <w:rsid w:val="28CF7FA3"/>
    <w:rsid w:val="29C854AA"/>
    <w:rsid w:val="29D223B5"/>
    <w:rsid w:val="29EAAD30"/>
    <w:rsid w:val="29F3CD77"/>
    <w:rsid w:val="2A6974FD"/>
    <w:rsid w:val="2B344707"/>
    <w:rsid w:val="2BEA6A50"/>
    <w:rsid w:val="2CD97DB9"/>
    <w:rsid w:val="2CFB6FD1"/>
    <w:rsid w:val="2D1B0E35"/>
    <w:rsid w:val="2DA6547A"/>
    <w:rsid w:val="2DC33447"/>
    <w:rsid w:val="2EAC842F"/>
    <w:rsid w:val="2EAF496F"/>
    <w:rsid w:val="30647764"/>
    <w:rsid w:val="314B2D35"/>
    <w:rsid w:val="32D3FC4D"/>
    <w:rsid w:val="343C4530"/>
    <w:rsid w:val="347F382E"/>
    <w:rsid w:val="35535719"/>
    <w:rsid w:val="35B8B9EF"/>
    <w:rsid w:val="35F45EB9"/>
    <w:rsid w:val="372B69DC"/>
    <w:rsid w:val="37734368"/>
    <w:rsid w:val="379A25D9"/>
    <w:rsid w:val="395AA18F"/>
    <w:rsid w:val="39BCB722"/>
    <w:rsid w:val="3AD95335"/>
    <w:rsid w:val="3AF2B41B"/>
    <w:rsid w:val="3BF4087D"/>
    <w:rsid w:val="3C88941D"/>
    <w:rsid w:val="3D021C05"/>
    <w:rsid w:val="3E0C18EC"/>
    <w:rsid w:val="3E434262"/>
    <w:rsid w:val="3EF00C98"/>
    <w:rsid w:val="40A40593"/>
    <w:rsid w:val="45459165"/>
    <w:rsid w:val="454D6BCE"/>
    <w:rsid w:val="463DFCE1"/>
    <w:rsid w:val="47DA8EF3"/>
    <w:rsid w:val="47FD8BF6"/>
    <w:rsid w:val="480CE4F7"/>
    <w:rsid w:val="485E7E2F"/>
    <w:rsid w:val="489B38E1"/>
    <w:rsid w:val="4A20D054"/>
    <w:rsid w:val="4A9D9324"/>
    <w:rsid w:val="4BB564C8"/>
    <w:rsid w:val="4C1F1B05"/>
    <w:rsid w:val="4C272B5E"/>
    <w:rsid w:val="4C2BB2E8"/>
    <w:rsid w:val="4C3C94C2"/>
    <w:rsid w:val="4D80D0EB"/>
    <w:rsid w:val="4DA4A81C"/>
    <w:rsid w:val="4DEC9455"/>
    <w:rsid w:val="4E505EFA"/>
    <w:rsid w:val="4FCD8439"/>
    <w:rsid w:val="505A4D60"/>
    <w:rsid w:val="50F80495"/>
    <w:rsid w:val="513AC720"/>
    <w:rsid w:val="518D6B2F"/>
    <w:rsid w:val="51AD2F03"/>
    <w:rsid w:val="51DAE1C3"/>
    <w:rsid w:val="51E86499"/>
    <w:rsid w:val="52AADE7B"/>
    <w:rsid w:val="52E420CA"/>
    <w:rsid w:val="54034B36"/>
    <w:rsid w:val="544C5C40"/>
    <w:rsid w:val="550BBDE4"/>
    <w:rsid w:val="5593F32F"/>
    <w:rsid w:val="55FFDF32"/>
    <w:rsid w:val="57745F39"/>
    <w:rsid w:val="579EC289"/>
    <w:rsid w:val="586DF502"/>
    <w:rsid w:val="58740E96"/>
    <w:rsid w:val="58A9847F"/>
    <w:rsid w:val="591B0D0C"/>
    <w:rsid w:val="597630A8"/>
    <w:rsid w:val="59DE8D0D"/>
    <w:rsid w:val="5DBCCD6E"/>
    <w:rsid w:val="5E6455DE"/>
    <w:rsid w:val="5EE0EE25"/>
    <w:rsid w:val="5F475E23"/>
    <w:rsid w:val="5F769530"/>
    <w:rsid w:val="5FB02626"/>
    <w:rsid w:val="601273FC"/>
    <w:rsid w:val="6060D3F8"/>
    <w:rsid w:val="6203335D"/>
    <w:rsid w:val="625B4923"/>
    <w:rsid w:val="63A629E0"/>
    <w:rsid w:val="63C98766"/>
    <w:rsid w:val="653AC79D"/>
    <w:rsid w:val="661F69B4"/>
    <w:rsid w:val="66232A96"/>
    <w:rsid w:val="66C0D6BD"/>
    <w:rsid w:val="677F974B"/>
    <w:rsid w:val="67CB8747"/>
    <w:rsid w:val="67F13D65"/>
    <w:rsid w:val="680D62D9"/>
    <w:rsid w:val="69066DDA"/>
    <w:rsid w:val="6A809779"/>
    <w:rsid w:val="6AE2E005"/>
    <w:rsid w:val="6CEB38B4"/>
    <w:rsid w:val="6DA58FBC"/>
    <w:rsid w:val="6E5EBBDF"/>
    <w:rsid w:val="6FEF3910"/>
    <w:rsid w:val="6FF48CEA"/>
    <w:rsid w:val="701D6C00"/>
    <w:rsid w:val="7127BBFD"/>
    <w:rsid w:val="7186A543"/>
    <w:rsid w:val="725FF75D"/>
    <w:rsid w:val="72EB22F3"/>
    <w:rsid w:val="7352CA17"/>
    <w:rsid w:val="73EA3AFE"/>
    <w:rsid w:val="75E4EDB6"/>
    <w:rsid w:val="76A38CB4"/>
    <w:rsid w:val="76D06347"/>
    <w:rsid w:val="776109A3"/>
    <w:rsid w:val="78382A0C"/>
    <w:rsid w:val="78AD4731"/>
    <w:rsid w:val="7911F644"/>
    <w:rsid w:val="7928FDE9"/>
    <w:rsid w:val="7B44216A"/>
    <w:rsid w:val="7D08CA1D"/>
    <w:rsid w:val="7D5510CE"/>
    <w:rsid w:val="7EDEE352"/>
    <w:rsid w:val="7FBB65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B4C5661"/>
  <w15:chartTrackingRefBased/>
  <w15:docId w15:val="{37C396BD-9DD0-4397-BEFF-4063A106F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4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5424D4"/>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4"/>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5424D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5"/>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uiPriority w:val="99"/>
    <w:semiHidden/>
    <w:unhideWhenUsed/>
    <w:rsid w:val="001855D0"/>
    <w:rPr>
      <w:sz w:val="16"/>
      <w:szCs w:val="16"/>
    </w:rPr>
  </w:style>
  <w:style w:type="paragraph" w:styleId="CommentText">
    <w:name w:val="annotation text"/>
    <w:basedOn w:val="Normal"/>
    <w:link w:val="CommentTextChar"/>
    <w:uiPriority w:val="99"/>
    <w:semiHidden/>
    <w:unhideWhenUsed/>
    <w:rsid w:val="001855D0"/>
  </w:style>
  <w:style w:type="character" w:customStyle="1" w:styleId="CommentTextChar">
    <w:name w:val="Comment Text Char"/>
    <w:basedOn w:val="DefaultParagraphFont"/>
    <w:link w:val="CommentText"/>
    <w:uiPriority w:val="99"/>
    <w:semiHidden/>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10"/>
      </w:numPr>
    </w:pPr>
  </w:style>
  <w:style w:type="character" w:styleId="SubtleEmphasis">
    <w:name w:val="Subtle Emphasis"/>
    <w:basedOn w:val="DefaultParagraphFont"/>
    <w:uiPriority w:val="19"/>
    <w:qFormat/>
    <w:rsid w:val="00A3459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2.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29889023-24E2-4046-9707-60F2F08DB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5.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6.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3975</Words>
  <Characters>22659</Characters>
  <Application>Microsoft Office Word</Application>
  <DocSecurity>0</DocSecurity>
  <Lines>188</Lines>
  <Paragraphs>53</Paragraphs>
  <ScaleCrop>false</ScaleCrop>
  <Company/>
  <LinksUpToDate>false</LinksUpToDate>
  <CharactersWithSpaces>26581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Ziyi3</cp:lastModifiedBy>
  <cp:revision>2</cp:revision>
  <dcterms:created xsi:type="dcterms:W3CDTF">2021-08-06T04:10:00Z</dcterms:created>
  <dcterms:modified xsi:type="dcterms:W3CDTF">2021-08-06T04:10:00Z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True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2021-01-12T07:09:28.1416567Z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Sensitivity">
    <vt:lpwstr>Intel Confidential</vt:lpwstr>
  </property>
</Properties>
</file>